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1D9E" w14:textId="22FB2BDF" w:rsidR="00E6692B" w:rsidRPr="002A79D2" w:rsidRDefault="006A135F" w:rsidP="00580884">
      <w:pPr>
        <w:jc w:val="both"/>
        <w:rPr>
          <w:rFonts w:ascii="Arial" w:hAnsi="Arial" w:cs="Arial"/>
          <w:b/>
        </w:rPr>
      </w:pPr>
      <w:r>
        <w:rPr>
          <w:rFonts w:ascii="Arial" w:hAnsi="Arial" w:cs="Arial"/>
          <w:b/>
          <w:caps/>
          <w:szCs w:val="28"/>
        </w:rPr>
        <w:t>resolución POR LA QUE SE VALORAN</w:t>
      </w:r>
      <w:r w:rsidRPr="00745E63">
        <w:rPr>
          <w:rFonts w:ascii="Arial" w:hAnsi="Arial" w:cs="Arial"/>
          <w:b/>
        </w:rPr>
        <w:t xml:space="preserve"> LAS MERMAS</w:t>
      </w:r>
      <w:r w:rsidR="00BA107B" w:rsidRPr="002A79D2">
        <w:rPr>
          <w:rFonts w:ascii="Arial" w:hAnsi="Arial" w:cs="Arial"/>
          <w:b/>
        </w:rPr>
        <w:t xml:space="preserve"> </w:t>
      </w:r>
      <w:r w:rsidR="00A936AE" w:rsidRPr="002A79D2">
        <w:rPr>
          <w:rFonts w:ascii="Arial" w:hAnsi="Arial" w:cs="Arial"/>
          <w:b/>
        </w:rPr>
        <w:t xml:space="preserve">EN </w:t>
      </w:r>
      <w:r w:rsidR="00DC2D4E" w:rsidRPr="002A79D2">
        <w:rPr>
          <w:rFonts w:ascii="Arial" w:hAnsi="Arial" w:cs="Arial"/>
          <w:b/>
        </w:rPr>
        <w:t>LAS PLANTAS DE REGASIFICACIÓN DE GNL</w:t>
      </w:r>
      <w:r w:rsidR="00A936AE" w:rsidRPr="002A79D2">
        <w:rPr>
          <w:rFonts w:ascii="Arial" w:hAnsi="Arial" w:cs="Arial"/>
          <w:b/>
        </w:rPr>
        <w:t xml:space="preserve"> CORRESPONDIENTES A 201</w:t>
      </w:r>
      <w:r w:rsidR="00797A35">
        <w:rPr>
          <w:rFonts w:ascii="Arial" w:hAnsi="Arial" w:cs="Arial"/>
          <w:b/>
        </w:rPr>
        <w:t>9</w:t>
      </w:r>
    </w:p>
    <w:p w14:paraId="771C01A0" w14:textId="77777777" w:rsidR="00E6692B" w:rsidRPr="002A79D2" w:rsidRDefault="00E6692B" w:rsidP="00580884">
      <w:pPr>
        <w:jc w:val="both"/>
        <w:rPr>
          <w:rFonts w:ascii="Arial" w:hAnsi="Arial" w:cs="Arial"/>
        </w:rPr>
      </w:pPr>
    </w:p>
    <w:p w14:paraId="08773F0E" w14:textId="1B37AA05" w:rsidR="00E6692B" w:rsidRPr="002A79D2" w:rsidRDefault="00FC6D11" w:rsidP="00580884">
      <w:pPr>
        <w:jc w:val="both"/>
        <w:rPr>
          <w:rFonts w:ascii="Arial" w:hAnsi="Arial" w:cs="Arial"/>
        </w:rPr>
      </w:pPr>
      <w:r w:rsidRPr="002A79D2">
        <w:rPr>
          <w:rFonts w:ascii="Arial" w:hAnsi="Arial" w:cs="Arial"/>
        </w:rPr>
        <w:t xml:space="preserve">Expediente </w:t>
      </w:r>
      <w:r w:rsidR="003B78E3" w:rsidRPr="002A79D2">
        <w:rPr>
          <w:rFonts w:ascii="Arial" w:hAnsi="Arial" w:cs="Arial"/>
        </w:rPr>
        <w:t>INF/</w:t>
      </w:r>
      <w:r w:rsidR="00195573" w:rsidRPr="002A79D2">
        <w:rPr>
          <w:rFonts w:ascii="Arial" w:hAnsi="Arial" w:cs="Arial"/>
        </w:rPr>
        <w:t>DE</w:t>
      </w:r>
      <w:r w:rsidR="003B78E3" w:rsidRPr="002A79D2">
        <w:rPr>
          <w:rFonts w:ascii="Arial" w:hAnsi="Arial" w:cs="Arial"/>
        </w:rPr>
        <w:t>/</w:t>
      </w:r>
      <w:r w:rsidR="00181486">
        <w:rPr>
          <w:rFonts w:ascii="Arial" w:hAnsi="Arial" w:cs="Arial"/>
        </w:rPr>
        <w:t>0</w:t>
      </w:r>
      <w:r w:rsidR="00797A35">
        <w:rPr>
          <w:rFonts w:ascii="Arial" w:hAnsi="Arial" w:cs="Arial"/>
        </w:rPr>
        <w:t>34</w:t>
      </w:r>
      <w:r w:rsidR="003B78E3" w:rsidRPr="002A79D2">
        <w:rPr>
          <w:rFonts w:ascii="Arial" w:hAnsi="Arial" w:cs="Arial"/>
        </w:rPr>
        <w:t>/</w:t>
      </w:r>
      <w:r w:rsidR="00797A35">
        <w:rPr>
          <w:rFonts w:ascii="Arial" w:hAnsi="Arial" w:cs="Arial"/>
        </w:rPr>
        <w:t>20</w:t>
      </w:r>
    </w:p>
    <w:p w14:paraId="61BAAD2A" w14:textId="77777777" w:rsidR="00E6692B" w:rsidRPr="002A79D2" w:rsidRDefault="00E6692B" w:rsidP="00580884">
      <w:pPr>
        <w:jc w:val="both"/>
        <w:rPr>
          <w:rFonts w:ascii="Arial" w:hAnsi="Arial" w:cs="Arial"/>
          <w:b/>
        </w:rPr>
      </w:pPr>
    </w:p>
    <w:p w14:paraId="5191FD1F" w14:textId="77777777" w:rsidR="00E6692B" w:rsidRPr="002A79D2" w:rsidRDefault="00BE5439" w:rsidP="00580884">
      <w:pPr>
        <w:jc w:val="both"/>
        <w:rPr>
          <w:rFonts w:ascii="Arial" w:hAnsi="Arial" w:cs="Arial"/>
          <w:b/>
        </w:rPr>
      </w:pPr>
      <w:r w:rsidRPr="002A79D2">
        <w:rPr>
          <w:rFonts w:ascii="Arial" w:hAnsi="Arial" w:cs="Arial"/>
          <w:b/>
        </w:rPr>
        <w:t>SALA DE SUPERVISIÓN REGULATORIA</w:t>
      </w:r>
    </w:p>
    <w:p w14:paraId="68A8786F" w14:textId="77777777" w:rsidR="00E6692B" w:rsidRPr="002A79D2" w:rsidRDefault="00E6692B" w:rsidP="00580884">
      <w:pPr>
        <w:jc w:val="both"/>
        <w:rPr>
          <w:rFonts w:ascii="Arial" w:hAnsi="Arial" w:cs="Arial"/>
          <w:b/>
        </w:rPr>
      </w:pPr>
    </w:p>
    <w:p w14:paraId="222122ED" w14:textId="487E60D8" w:rsidR="00E6692B" w:rsidRPr="002A79D2" w:rsidRDefault="00E6692B" w:rsidP="00580884">
      <w:pPr>
        <w:jc w:val="both"/>
        <w:rPr>
          <w:rFonts w:ascii="Arial" w:hAnsi="Arial" w:cs="Arial"/>
          <w:b/>
        </w:rPr>
      </w:pPr>
      <w:r w:rsidRPr="002A79D2">
        <w:rPr>
          <w:rFonts w:ascii="Arial" w:hAnsi="Arial" w:cs="Arial"/>
          <w:b/>
        </w:rPr>
        <w:t>President</w:t>
      </w:r>
      <w:r w:rsidR="00CE4936">
        <w:rPr>
          <w:rFonts w:ascii="Arial" w:hAnsi="Arial" w:cs="Arial"/>
          <w:b/>
        </w:rPr>
        <w:t>e</w:t>
      </w:r>
    </w:p>
    <w:p w14:paraId="6C45A773" w14:textId="2522D517" w:rsidR="00E6692B" w:rsidRPr="002A79D2" w:rsidRDefault="00E6692B" w:rsidP="00580884">
      <w:pPr>
        <w:jc w:val="both"/>
        <w:rPr>
          <w:rFonts w:ascii="Arial" w:hAnsi="Arial" w:cs="Arial"/>
        </w:rPr>
      </w:pPr>
      <w:r w:rsidRPr="002A79D2">
        <w:rPr>
          <w:rFonts w:ascii="Arial" w:hAnsi="Arial" w:cs="Arial"/>
        </w:rPr>
        <w:t>D</w:t>
      </w:r>
      <w:r w:rsidR="00CE4936">
        <w:rPr>
          <w:rFonts w:ascii="Arial" w:hAnsi="Arial" w:cs="Arial"/>
        </w:rPr>
        <w:t xml:space="preserve">. </w:t>
      </w:r>
      <w:r w:rsidR="00CE4936" w:rsidRPr="003D59F6">
        <w:rPr>
          <w:rFonts w:ascii="Arial" w:hAnsi="Arial" w:cs="Arial"/>
        </w:rPr>
        <w:t>Ángel Torres</w:t>
      </w:r>
      <w:r w:rsidR="00CE4936">
        <w:rPr>
          <w:rFonts w:ascii="Arial" w:hAnsi="Arial" w:cs="Arial"/>
        </w:rPr>
        <w:t xml:space="preserve"> Torres</w:t>
      </w:r>
    </w:p>
    <w:p w14:paraId="4735E050" w14:textId="77777777" w:rsidR="00E6692B" w:rsidRPr="002A79D2" w:rsidRDefault="00E6692B" w:rsidP="00580884">
      <w:pPr>
        <w:jc w:val="both"/>
        <w:rPr>
          <w:rFonts w:ascii="Arial" w:hAnsi="Arial" w:cs="Arial"/>
        </w:rPr>
      </w:pPr>
    </w:p>
    <w:p w14:paraId="78EB2883" w14:textId="77777777" w:rsidR="00E6692B" w:rsidRPr="002A79D2" w:rsidRDefault="00E6692B" w:rsidP="00580884">
      <w:pPr>
        <w:jc w:val="both"/>
        <w:rPr>
          <w:rFonts w:ascii="Arial" w:hAnsi="Arial" w:cs="Arial"/>
          <w:b/>
        </w:rPr>
      </w:pPr>
      <w:r w:rsidRPr="002A79D2">
        <w:rPr>
          <w:rFonts w:ascii="Arial" w:hAnsi="Arial" w:cs="Arial"/>
          <w:b/>
        </w:rPr>
        <w:t>Consejeros</w:t>
      </w:r>
    </w:p>
    <w:p w14:paraId="3294C863" w14:textId="77777777" w:rsidR="002A79D2" w:rsidRPr="00B61CCD" w:rsidRDefault="002A79D2" w:rsidP="002A79D2">
      <w:pPr>
        <w:jc w:val="both"/>
        <w:rPr>
          <w:rFonts w:ascii="Arial" w:hAnsi="Arial" w:cs="Arial"/>
          <w:lang w:val="pt-PT"/>
        </w:rPr>
      </w:pPr>
      <w:r w:rsidRPr="00B61CCD">
        <w:rPr>
          <w:rFonts w:ascii="Arial" w:hAnsi="Arial" w:cs="Arial"/>
          <w:lang w:val="pt-PT"/>
        </w:rPr>
        <w:t>D. Mariano Bacigalupo Saggese</w:t>
      </w:r>
    </w:p>
    <w:p w14:paraId="10D85F00" w14:textId="77777777" w:rsidR="002A79D2" w:rsidRPr="00B61CCD" w:rsidRDefault="002A79D2" w:rsidP="002A79D2">
      <w:pPr>
        <w:jc w:val="both"/>
        <w:rPr>
          <w:rFonts w:ascii="Arial" w:hAnsi="Arial" w:cs="Arial"/>
          <w:lang w:val="pt-PT"/>
        </w:rPr>
      </w:pPr>
      <w:r w:rsidRPr="00B61CCD">
        <w:rPr>
          <w:rFonts w:ascii="Arial" w:hAnsi="Arial" w:cs="Arial"/>
          <w:lang w:val="pt-PT"/>
        </w:rPr>
        <w:t>D. Bernardo Lorenzo Almendros</w:t>
      </w:r>
    </w:p>
    <w:p w14:paraId="57C13F17" w14:textId="10F00807" w:rsidR="002A79D2" w:rsidRPr="00B61CCD" w:rsidRDefault="002A79D2" w:rsidP="002A79D2">
      <w:pPr>
        <w:jc w:val="both"/>
        <w:rPr>
          <w:rFonts w:ascii="Arial" w:hAnsi="Arial" w:cs="Arial"/>
          <w:lang w:val="es-ES_tradnl"/>
        </w:rPr>
      </w:pPr>
      <w:r w:rsidRPr="00B61CCD">
        <w:rPr>
          <w:rFonts w:ascii="Arial" w:hAnsi="Arial" w:cs="Arial"/>
          <w:lang w:val="es-ES_tradnl"/>
        </w:rPr>
        <w:t>D. Xabier Ormaetxea Garai</w:t>
      </w:r>
    </w:p>
    <w:p w14:paraId="20090F06" w14:textId="77777777" w:rsidR="00832B4E" w:rsidRPr="00B61CCD" w:rsidRDefault="00832B4E" w:rsidP="00832B4E">
      <w:pPr>
        <w:jc w:val="both"/>
        <w:rPr>
          <w:rFonts w:ascii="Arial" w:hAnsi="Arial" w:cs="Arial"/>
          <w:lang w:val="es-ES_tradnl"/>
        </w:rPr>
      </w:pPr>
      <w:r w:rsidRPr="00B61CCD">
        <w:rPr>
          <w:rFonts w:ascii="Arial" w:hAnsi="Arial" w:cs="Arial"/>
          <w:lang w:val="es-ES_tradnl"/>
        </w:rPr>
        <w:t>D</w:t>
      </w:r>
      <w:r>
        <w:rPr>
          <w:rFonts w:ascii="Arial" w:hAnsi="Arial" w:cs="Arial"/>
          <w:lang w:val="es-ES_tradnl"/>
        </w:rPr>
        <w:t>ª</w:t>
      </w:r>
      <w:r w:rsidRPr="00B61CCD">
        <w:rPr>
          <w:rFonts w:ascii="Arial" w:hAnsi="Arial" w:cs="Arial"/>
          <w:lang w:val="es-ES_tradnl"/>
        </w:rPr>
        <w:t xml:space="preserve">. </w:t>
      </w:r>
      <w:r w:rsidRPr="003D59F6">
        <w:rPr>
          <w:rFonts w:ascii="Arial" w:hAnsi="Arial" w:cs="Arial"/>
        </w:rPr>
        <w:t>Pilar Sánchez Núñez</w:t>
      </w:r>
    </w:p>
    <w:p w14:paraId="2B9E491F" w14:textId="77777777" w:rsidR="00E6692B" w:rsidRPr="002A79D2" w:rsidRDefault="00E6692B" w:rsidP="00580884">
      <w:pPr>
        <w:jc w:val="both"/>
        <w:rPr>
          <w:rFonts w:ascii="Arial" w:hAnsi="Arial" w:cs="Arial"/>
          <w:lang w:val="es-ES_tradnl"/>
        </w:rPr>
      </w:pPr>
    </w:p>
    <w:p w14:paraId="7267F616" w14:textId="6C2E0CD9" w:rsidR="00E6692B" w:rsidRPr="002A79D2" w:rsidRDefault="00E6692B" w:rsidP="00580884">
      <w:pPr>
        <w:jc w:val="both"/>
        <w:rPr>
          <w:rFonts w:ascii="Arial" w:hAnsi="Arial" w:cs="Arial"/>
          <w:b/>
        </w:rPr>
      </w:pPr>
      <w:r w:rsidRPr="002A79D2">
        <w:rPr>
          <w:rFonts w:ascii="Arial" w:hAnsi="Arial" w:cs="Arial"/>
          <w:b/>
        </w:rPr>
        <w:t xml:space="preserve">Secretario </w:t>
      </w:r>
    </w:p>
    <w:p w14:paraId="1958A34E" w14:textId="52A961A1" w:rsidR="00D067FA" w:rsidRPr="0085615B" w:rsidRDefault="006309BD" w:rsidP="00D067FA">
      <w:pPr>
        <w:rPr>
          <w:rFonts w:ascii="Arial" w:hAnsi="Arial" w:cs="Arial"/>
        </w:rPr>
      </w:pPr>
      <w:r>
        <w:rPr>
          <w:rFonts w:ascii="Arial" w:hAnsi="Arial" w:cs="Arial"/>
        </w:rPr>
        <w:t>D. Joaquim Hortalà i Vallvé</w:t>
      </w:r>
    </w:p>
    <w:p w14:paraId="787D9DCE" w14:textId="77777777" w:rsidR="00D067FA" w:rsidRPr="0085615B" w:rsidRDefault="00D067FA" w:rsidP="00D067FA">
      <w:pPr>
        <w:rPr>
          <w:rFonts w:ascii="Arial" w:hAnsi="Arial" w:cs="Arial"/>
        </w:rPr>
      </w:pPr>
    </w:p>
    <w:p w14:paraId="061BEA11" w14:textId="442DF93B" w:rsidR="00D067FA" w:rsidRPr="006309BD" w:rsidRDefault="00D067FA" w:rsidP="00D067FA">
      <w:pPr>
        <w:rPr>
          <w:rFonts w:ascii="Arial" w:hAnsi="Arial" w:cs="Arial"/>
        </w:rPr>
      </w:pPr>
      <w:r w:rsidRPr="006309BD">
        <w:rPr>
          <w:rFonts w:ascii="Arial" w:hAnsi="Arial" w:cs="Arial"/>
        </w:rPr>
        <w:t xml:space="preserve">En Madrid, a </w:t>
      </w:r>
      <w:r w:rsidR="006309BD" w:rsidRPr="006309BD">
        <w:rPr>
          <w:rFonts w:ascii="Arial" w:hAnsi="Arial" w:cs="Arial"/>
        </w:rPr>
        <w:t>12</w:t>
      </w:r>
      <w:r w:rsidRPr="006309BD">
        <w:rPr>
          <w:rFonts w:ascii="Arial" w:hAnsi="Arial" w:cs="Arial"/>
        </w:rPr>
        <w:t xml:space="preserve"> de </w:t>
      </w:r>
      <w:r w:rsidR="006309BD" w:rsidRPr="006309BD">
        <w:rPr>
          <w:rFonts w:ascii="Arial" w:hAnsi="Arial" w:cs="Arial"/>
        </w:rPr>
        <w:t>noviembre</w:t>
      </w:r>
      <w:r w:rsidRPr="006309BD">
        <w:rPr>
          <w:rFonts w:ascii="Arial" w:hAnsi="Arial" w:cs="Arial"/>
        </w:rPr>
        <w:t xml:space="preserve"> de 20</w:t>
      </w:r>
      <w:r w:rsidR="00797A35" w:rsidRPr="006309BD">
        <w:rPr>
          <w:rFonts w:ascii="Arial" w:hAnsi="Arial" w:cs="Arial"/>
        </w:rPr>
        <w:t>20</w:t>
      </w:r>
    </w:p>
    <w:p w14:paraId="77EF35F6" w14:textId="77777777" w:rsidR="00E6692B" w:rsidRPr="002A79D2" w:rsidRDefault="00E6692B" w:rsidP="00A65300">
      <w:pPr>
        <w:rPr>
          <w:rFonts w:ascii="Arial" w:hAnsi="Arial" w:cs="Arial"/>
        </w:rPr>
      </w:pPr>
    </w:p>
    <w:p w14:paraId="2EF60984" w14:textId="7B2F6A22" w:rsidR="00181486" w:rsidRPr="0085615B" w:rsidRDefault="00181486" w:rsidP="00181486">
      <w:pPr>
        <w:autoSpaceDE w:val="0"/>
        <w:autoSpaceDN w:val="0"/>
        <w:adjustRightInd w:val="0"/>
        <w:jc w:val="both"/>
        <w:rPr>
          <w:rFonts w:ascii="Arial" w:hAnsi="Arial" w:cs="Arial"/>
        </w:rPr>
      </w:pPr>
      <w:r w:rsidRPr="0085615B">
        <w:rPr>
          <w:rFonts w:ascii="Arial" w:hAnsi="Arial" w:cs="Arial"/>
        </w:rPr>
        <w:t xml:space="preserve">De acuerdo con la función establecida en el artículo 7.33 de la Ley 3/2013, de 4 de junio, de creación de la Comisión Nacional de los Mercados y la Competencia (en adelante, CNMC), </w:t>
      </w:r>
      <w:r w:rsidR="00B47C5C">
        <w:rPr>
          <w:rFonts w:ascii="Arial" w:hAnsi="Arial" w:cs="Arial"/>
        </w:rPr>
        <w:t xml:space="preserve">el artículo 65 de la Ley 34/1998, de 7 de octubre, del Sector de Hidrocarburos </w:t>
      </w:r>
      <w:r w:rsidRPr="0085615B">
        <w:rPr>
          <w:rFonts w:ascii="Arial" w:hAnsi="Arial" w:cs="Arial"/>
        </w:rPr>
        <w:t xml:space="preserve">y con lo dispuesto en el artículo </w:t>
      </w:r>
      <w:r w:rsidR="00215DD9">
        <w:rPr>
          <w:rFonts w:ascii="Arial" w:hAnsi="Arial" w:cs="Arial"/>
        </w:rPr>
        <w:t>2</w:t>
      </w:r>
      <w:r w:rsidRPr="0085615B">
        <w:rPr>
          <w:rFonts w:ascii="Arial" w:hAnsi="Arial" w:cs="Arial"/>
        </w:rPr>
        <w:t xml:space="preserve"> de la </w:t>
      </w:r>
      <w:r w:rsidR="00215DD9" w:rsidRPr="006309BD">
        <w:rPr>
          <w:rFonts w:ascii="Arial" w:hAnsi="Arial" w:cs="Arial"/>
        </w:rPr>
        <w:t>ITC/1890/2010, de 13 de julio</w:t>
      </w:r>
      <w:r w:rsidRPr="0085615B">
        <w:rPr>
          <w:rFonts w:ascii="Arial" w:hAnsi="Arial" w:cs="Arial"/>
        </w:rPr>
        <w:t xml:space="preserve">, </w:t>
      </w:r>
      <w:r w:rsidR="00CA1502">
        <w:rPr>
          <w:rFonts w:ascii="Arial" w:hAnsi="Arial" w:cs="Arial"/>
        </w:rPr>
        <w:t xml:space="preserve">se </w:t>
      </w:r>
      <w:r w:rsidRPr="0085615B">
        <w:rPr>
          <w:rFonts w:ascii="Arial" w:hAnsi="Arial" w:cs="Arial"/>
        </w:rPr>
        <w:t xml:space="preserve">procede a la valoración de las mermas de gas en </w:t>
      </w:r>
      <w:r>
        <w:rPr>
          <w:rFonts w:ascii="Arial" w:hAnsi="Arial" w:cs="Arial"/>
        </w:rPr>
        <w:t>las plantas de regasificación de GNL</w:t>
      </w:r>
      <w:r w:rsidRPr="0085615B">
        <w:rPr>
          <w:rFonts w:ascii="Arial" w:hAnsi="Arial" w:cs="Arial"/>
        </w:rPr>
        <w:t xml:space="preserve"> correspondientes a 201</w:t>
      </w:r>
      <w:r w:rsidR="00797A35">
        <w:rPr>
          <w:rFonts w:ascii="Arial" w:hAnsi="Arial" w:cs="Arial"/>
        </w:rPr>
        <w:t>9</w:t>
      </w:r>
      <w:r w:rsidRPr="0085615B">
        <w:rPr>
          <w:rFonts w:ascii="Arial" w:hAnsi="Arial" w:cs="Arial"/>
        </w:rPr>
        <w:t xml:space="preserve">, al precio medio del gas de operación en dicho año, para calcular la cantidad que debe adicionarse o restarse de la retribución de cada titular de las </w:t>
      </w:r>
      <w:r>
        <w:rPr>
          <w:rFonts w:ascii="Arial" w:hAnsi="Arial" w:cs="Arial"/>
        </w:rPr>
        <w:t>plantas de regasificación</w:t>
      </w:r>
      <w:r w:rsidRPr="0085615B">
        <w:rPr>
          <w:rFonts w:ascii="Arial" w:hAnsi="Arial" w:cs="Arial"/>
        </w:rPr>
        <w:t>.</w:t>
      </w:r>
    </w:p>
    <w:p w14:paraId="2FD7DD34" w14:textId="77777777" w:rsidR="00181486" w:rsidRPr="00181486" w:rsidRDefault="00181486" w:rsidP="00580884">
      <w:pPr>
        <w:jc w:val="both"/>
        <w:rPr>
          <w:rFonts w:ascii="Arial" w:hAnsi="Arial" w:cs="Arial"/>
        </w:rPr>
      </w:pPr>
    </w:p>
    <w:p w14:paraId="074DDBFA" w14:textId="77777777" w:rsidR="008526B4" w:rsidRPr="00181486" w:rsidRDefault="0025054E" w:rsidP="00580884">
      <w:pPr>
        <w:pStyle w:val="Ttulo1"/>
        <w:tabs>
          <w:tab w:val="clear" w:pos="574"/>
          <w:tab w:val="num" w:pos="284"/>
        </w:tabs>
        <w:spacing w:before="0" w:after="0" w:line="240" w:lineRule="auto"/>
        <w:ind w:left="284" w:hanging="284"/>
        <w:rPr>
          <w:caps w:val="0"/>
          <w:color w:val="auto"/>
          <w:sz w:val="24"/>
          <w:szCs w:val="24"/>
        </w:rPr>
      </w:pPr>
      <w:bookmarkStart w:id="0" w:name="_Toc410809087"/>
      <w:r w:rsidRPr="00181486">
        <w:rPr>
          <w:caps w:val="0"/>
          <w:color w:val="auto"/>
          <w:sz w:val="24"/>
          <w:szCs w:val="24"/>
        </w:rPr>
        <w:t>Antecedentes</w:t>
      </w:r>
      <w:bookmarkEnd w:id="0"/>
    </w:p>
    <w:p w14:paraId="50FCAF41" w14:textId="77777777" w:rsidR="000977E0" w:rsidRPr="00181486" w:rsidRDefault="000977E0" w:rsidP="00580884">
      <w:pPr>
        <w:rPr>
          <w:rFonts w:ascii="Arial" w:hAnsi="Arial" w:cs="Arial"/>
        </w:rPr>
      </w:pPr>
    </w:p>
    <w:p w14:paraId="08DC3B9D" w14:textId="52CCAB88" w:rsidR="00646C91" w:rsidRPr="00181486" w:rsidRDefault="00646C91" w:rsidP="00646C91">
      <w:pPr>
        <w:pStyle w:val="Pa6"/>
        <w:jc w:val="both"/>
      </w:pPr>
      <w:r w:rsidRPr="00181486">
        <w:t>El sistema español de acceso de terceros a las instalaciones gasistas reconoce al titular de las instalaciones por donde circula el gas de los usuarios, la potestad de retener un porcentaje preestablecido del gas circulado en concepto de mermas de la instalación.</w:t>
      </w:r>
    </w:p>
    <w:p w14:paraId="03E7B833" w14:textId="77777777" w:rsidR="00646C91" w:rsidRPr="00181486" w:rsidRDefault="00646C91" w:rsidP="00646C91">
      <w:pPr>
        <w:pStyle w:val="Pa6"/>
        <w:jc w:val="both"/>
      </w:pPr>
    </w:p>
    <w:p w14:paraId="6B923EE9" w14:textId="139A7CBB" w:rsidR="00DC2D4E" w:rsidRPr="00181486" w:rsidRDefault="00DC2D4E" w:rsidP="00DC2D4E">
      <w:pPr>
        <w:pStyle w:val="Pa6"/>
        <w:spacing w:line="240" w:lineRule="auto"/>
        <w:jc w:val="both"/>
      </w:pPr>
      <w:r w:rsidRPr="00181486">
        <w:t xml:space="preserve">La Orden ITC/1890/2010, de 13 de julio, </w:t>
      </w:r>
      <w:r w:rsidR="00B47C5C">
        <w:t>establece</w:t>
      </w:r>
      <w:r w:rsidRPr="00181486">
        <w:t xml:space="preserve"> determinados aspectos relacionados con el acceso de terceros y las retribuciones reguladas en el sistema del gas natural, </w:t>
      </w:r>
      <w:r w:rsidR="00B47C5C">
        <w:t xml:space="preserve">y </w:t>
      </w:r>
      <w:r w:rsidRPr="00181486">
        <w:t xml:space="preserve">en particular, </w:t>
      </w:r>
      <w:r w:rsidR="00B47C5C" w:rsidRPr="00181486">
        <w:t>en su artículo 2</w:t>
      </w:r>
      <w:r w:rsidR="00B47C5C">
        <w:t xml:space="preserve">, </w:t>
      </w:r>
      <w:r w:rsidRPr="00181486">
        <w:t xml:space="preserve">el tratamiento de las mermas de regasificación. Sin embargo, dicha Orden no detalla el procedimiento para calcular el saldo de mermas en </w:t>
      </w:r>
      <w:r w:rsidR="00367A07" w:rsidRPr="00181486">
        <w:t>las plantas de regasificación,</w:t>
      </w:r>
      <w:r w:rsidRPr="00181486">
        <w:t xml:space="preserve"> el </w:t>
      </w:r>
      <w:r w:rsidR="00367A07" w:rsidRPr="00181486">
        <w:t>mecanismo de cálculo de</w:t>
      </w:r>
      <w:r w:rsidRPr="00181486">
        <w:t xml:space="preserve"> las mermas reales por pérdidas y diferencias de medición</w:t>
      </w:r>
      <w:r w:rsidR="00DA42B9">
        <w:t xml:space="preserve"> o</w:t>
      </w:r>
      <w:r w:rsidRPr="00181486">
        <w:t xml:space="preserve"> el grado de desagregación de la información a comunicar.</w:t>
      </w:r>
    </w:p>
    <w:p w14:paraId="64846E4C" w14:textId="77777777" w:rsidR="00DC2D4E" w:rsidRPr="00181486" w:rsidRDefault="00DC2D4E" w:rsidP="00706D6F">
      <w:pPr>
        <w:pStyle w:val="Pa6"/>
        <w:jc w:val="both"/>
      </w:pPr>
    </w:p>
    <w:p w14:paraId="47884AFA" w14:textId="77777777" w:rsidR="00DC2D4E" w:rsidRPr="00181486" w:rsidRDefault="00DC2D4E" w:rsidP="00DC2D4E">
      <w:pPr>
        <w:pStyle w:val="Pa6"/>
        <w:spacing w:line="240" w:lineRule="auto"/>
        <w:jc w:val="both"/>
      </w:pPr>
      <w:r w:rsidRPr="00181486">
        <w:t xml:space="preserve">La Orden IET/2446/2013, de 27 de diciembre, por la que se establecen los peajes y cánones asociados al acceso de terceros a las instalaciones gasistas y la </w:t>
      </w:r>
      <w:r w:rsidRPr="00181486">
        <w:lastRenderedPageBreak/>
        <w:t>retribución de las actividades reguladas, modifica el artíc</w:t>
      </w:r>
      <w:r w:rsidR="00B47C5C">
        <w:t>ulo 2 de la Orden ITC/1890/2010</w:t>
      </w:r>
      <w:r w:rsidRPr="00181486">
        <w:t xml:space="preserve"> y asigna al Gestor Técnico del Sistema (en adelante, GTS) nuevas funciones de supervisión de la correcta determinación de las mermas reales, las mermas retenidas, los saldos de mermas y su asignación a los usuarios, que no estaban definidas con la anterior Orden. </w:t>
      </w:r>
    </w:p>
    <w:p w14:paraId="52B12BD7" w14:textId="77777777" w:rsidR="00DC2D4E" w:rsidRPr="00181486" w:rsidRDefault="00DC2D4E" w:rsidP="00367A07">
      <w:pPr>
        <w:pStyle w:val="Pa6"/>
        <w:spacing w:line="240" w:lineRule="auto"/>
        <w:jc w:val="both"/>
      </w:pPr>
    </w:p>
    <w:p w14:paraId="71EBBAD5" w14:textId="6507899E" w:rsidR="00546F22" w:rsidRPr="00181486" w:rsidRDefault="00546F22" w:rsidP="00646C91">
      <w:pPr>
        <w:pStyle w:val="Pa6"/>
        <w:jc w:val="both"/>
      </w:pPr>
      <w:r w:rsidRPr="00181486">
        <w:t xml:space="preserve">Finalmente, </w:t>
      </w:r>
      <w:r w:rsidR="009A5E30" w:rsidRPr="00181486">
        <w:t>la Orden IET/2736/2015, de 17 de diciembre</w:t>
      </w:r>
      <w:r w:rsidR="00EB397A" w:rsidRPr="00181486">
        <w:t xml:space="preserve">, vuelve a modificar el artículo </w:t>
      </w:r>
      <w:r w:rsidR="00367A07" w:rsidRPr="00181486">
        <w:t>2 de la Orden ITC/18</w:t>
      </w:r>
      <w:r w:rsidR="001B4015">
        <w:t>9</w:t>
      </w:r>
      <w:r w:rsidR="00367A07" w:rsidRPr="00181486">
        <w:t>0/2010</w:t>
      </w:r>
      <w:r w:rsidR="00EB397A" w:rsidRPr="00181486">
        <w:t>,</w:t>
      </w:r>
      <w:r w:rsidR="00367A07" w:rsidRPr="00181486">
        <w:t xml:space="preserve"> en sus apartados 4 y 10</w:t>
      </w:r>
      <w:r w:rsidR="00EB397A" w:rsidRPr="00181486">
        <w:t xml:space="preserve">, de forma que, desde su entrada en vigor, los saldos de mermas mensuales en </w:t>
      </w:r>
      <w:r w:rsidR="00367A07" w:rsidRPr="00181486">
        <w:t xml:space="preserve">cada planta de regasificación </w:t>
      </w:r>
      <w:r w:rsidR="00EB397A" w:rsidRPr="00181486">
        <w:t>permanecen temporalmente bajo la titularidad del GTS como gas de la</w:t>
      </w:r>
      <w:r w:rsidR="00F269D7" w:rsidRPr="00181486">
        <w:t xml:space="preserve"> cuenta del saldo de mermas de la planta</w:t>
      </w:r>
      <w:r w:rsidR="00F64938">
        <w:t>. Se indica que el GTS deberá poner a disposición de los usuarios</w:t>
      </w:r>
      <w:r w:rsidR="00B47C5C">
        <w:t>,</w:t>
      </w:r>
      <w:r w:rsidR="00F64938">
        <w:t xml:space="preserve"> a cuenta del gas acumulado como saldo de mermas en cada una de las plantas de regasificación, un volumen de gas diario equivalente a la mitad del saldo de mermas anual de cada usuario.</w:t>
      </w:r>
    </w:p>
    <w:p w14:paraId="7B6B7483" w14:textId="77777777" w:rsidR="00546F22" w:rsidRPr="00181486" w:rsidRDefault="00546F22" w:rsidP="00646C91">
      <w:pPr>
        <w:pStyle w:val="Pa6"/>
        <w:jc w:val="both"/>
      </w:pPr>
    </w:p>
    <w:p w14:paraId="6461BE99" w14:textId="086CB86A" w:rsidR="00A457FF" w:rsidRDefault="00181486" w:rsidP="00A457FF">
      <w:pPr>
        <w:pStyle w:val="Pa6"/>
        <w:jc w:val="both"/>
      </w:pPr>
      <w:r w:rsidRPr="00181486">
        <w:t xml:space="preserve">En </w:t>
      </w:r>
      <w:r w:rsidRPr="008A6BA4">
        <w:t xml:space="preserve">fecha </w:t>
      </w:r>
      <w:r w:rsidR="00797A35" w:rsidRPr="008A6BA4">
        <w:t>22</w:t>
      </w:r>
      <w:r w:rsidR="00677C5F" w:rsidRPr="008A6BA4">
        <w:t xml:space="preserve"> </w:t>
      </w:r>
      <w:r w:rsidR="00677C5F" w:rsidRPr="00181486">
        <w:t>de abril de 20</w:t>
      </w:r>
      <w:r w:rsidR="00797A35">
        <w:t>20</w:t>
      </w:r>
      <w:r w:rsidR="00646C91" w:rsidRPr="00181486">
        <w:t xml:space="preserve">, el GTS remitió a la CNMC el informe de supervisión de las mermas en </w:t>
      </w:r>
      <w:r w:rsidR="00F269D7" w:rsidRPr="00181486">
        <w:t>las plantas de regasificación de GNL</w:t>
      </w:r>
      <w:r w:rsidR="00677C5F" w:rsidRPr="00181486">
        <w:t xml:space="preserve"> correspondiente al año 201</w:t>
      </w:r>
      <w:r w:rsidR="00973A27">
        <w:t>9</w:t>
      </w:r>
      <w:r w:rsidR="009A1F55" w:rsidRPr="00136B88">
        <w:t>.</w:t>
      </w:r>
    </w:p>
    <w:p w14:paraId="4DEB7540" w14:textId="104FDBA4" w:rsidR="00F67E07" w:rsidRDefault="00F67E07" w:rsidP="00F67E07">
      <w:pPr>
        <w:pStyle w:val="Default"/>
      </w:pPr>
    </w:p>
    <w:p w14:paraId="2B994553" w14:textId="2FBA2DCD" w:rsidR="00F67E07" w:rsidRDefault="00F67E07" w:rsidP="00F67E07">
      <w:pPr>
        <w:jc w:val="both"/>
        <w:rPr>
          <w:rFonts w:ascii="Arial" w:hAnsi="Arial" w:cs="Arial"/>
        </w:rPr>
      </w:pPr>
      <w:r>
        <w:rPr>
          <w:rFonts w:ascii="Arial" w:hAnsi="Arial" w:cs="Arial"/>
        </w:rPr>
        <w:t xml:space="preserve">Tras analizar la información recibida por el GTS, </w:t>
      </w:r>
      <w:r w:rsidR="004A0B58">
        <w:rPr>
          <w:rFonts w:ascii="Arial" w:hAnsi="Arial" w:cs="Arial"/>
        </w:rPr>
        <w:t xml:space="preserve">la CNMC observó desvíos considerables en cuanto a los datos de mermas reales y saldos de mermas de las instalaciones y los operadores respecto a años anteriores, que podrían poner de manifiesto la existencia de errores en las mediciones, la comunicación, la transcripción o la realización de los cálculos. Por ello, </w:t>
      </w:r>
      <w:r>
        <w:rPr>
          <w:rFonts w:ascii="Arial" w:hAnsi="Arial" w:cs="Arial"/>
        </w:rPr>
        <w:t>el 13 de julio de 2020</w:t>
      </w:r>
      <w:r w:rsidR="004A0B58">
        <w:rPr>
          <w:rFonts w:ascii="Arial" w:hAnsi="Arial" w:cs="Arial"/>
        </w:rPr>
        <w:t>,</w:t>
      </w:r>
      <w:r>
        <w:rPr>
          <w:rFonts w:ascii="Arial" w:hAnsi="Arial" w:cs="Arial"/>
        </w:rPr>
        <w:t xml:space="preserve"> la CNMC solicitó al GTS una revisión de los</w:t>
      </w:r>
      <w:r w:rsidR="004A0B58">
        <w:rPr>
          <w:rFonts w:ascii="Arial" w:hAnsi="Arial" w:cs="Arial"/>
        </w:rPr>
        <w:t xml:space="preserve"> informes de mermas remitidos, para que, por un lado, se revisara la información comunicada por los operadores de las instalaciones y se requiera a los mismos nueva información, así como justificación de todos los datos aportados</w:t>
      </w:r>
      <w:r w:rsidR="004A0B58" w:rsidRPr="00584E51">
        <w:rPr>
          <w:rFonts w:ascii="Arial" w:hAnsi="Arial" w:cs="Arial"/>
        </w:rPr>
        <w:t xml:space="preserve"> </w:t>
      </w:r>
      <w:r w:rsidR="004A0B58">
        <w:rPr>
          <w:rFonts w:ascii="Arial" w:hAnsi="Arial" w:cs="Arial"/>
        </w:rPr>
        <w:t>si fuese necesario, y por otro lado, se analizase la coherencia de los datos y en particular la relación entre las mermas de las plantas de regasificación y las mermas de las redes de transporte.</w:t>
      </w:r>
      <w:r>
        <w:rPr>
          <w:rFonts w:ascii="Arial" w:hAnsi="Arial" w:cs="Arial"/>
        </w:rPr>
        <w:t xml:space="preserve"> </w:t>
      </w:r>
    </w:p>
    <w:p w14:paraId="320549E9" w14:textId="77777777" w:rsidR="00F67E07" w:rsidRDefault="00F67E07" w:rsidP="00F67E07">
      <w:pPr>
        <w:jc w:val="both"/>
        <w:rPr>
          <w:rFonts w:ascii="Arial" w:hAnsi="Arial" w:cs="Arial"/>
        </w:rPr>
      </w:pPr>
    </w:p>
    <w:p w14:paraId="62A9EA95" w14:textId="279CDAFE" w:rsidR="00F67E07" w:rsidRPr="00F67E07" w:rsidRDefault="00F67E07" w:rsidP="00832B4E">
      <w:pPr>
        <w:jc w:val="both"/>
      </w:pPr>
      <w:r>
        <w:rPr>
          <w:rFonts w:ascii="Arial" w:hAnsi="Arial" w:cs="Arial"/>
        </w:rPr>
        <w:t xml:space="preserve">En fecha 2 de octubre de 2020, el GTS remitió a la CNMC un informe con la nueva información solicitada a los operadores y el análisis efectuado sobre la misma. </w:t>
      </w:r>
    </w:p>
    <w:p w14:paraId="14D9DAE9" w14:textId="77777777" w:rsidR="00A65300" w:rsidRPr="00181486" w:rsidRDefault="00A65300" w:rsidP="00A65300">
      <w:pPr>
        <w:jc w:val="both"/>
        <w:rPr>
          <w:rFonts w:ascii="Arial" w:hAnsi="Arial" w:cs="Arial"/>
        </w:rPr>
      </w:pPr>
    </w:p>
    <w:p w14:paraId="04AFE2A2" w14:textId="77777777" w:rsidR="00A65300" w:rsidRPr="00181486" w:rsidRDefault="00A936AE" w:rsidP="00FD44E5">
      <w:pPr>
        <w:widowControl w:val="0"/>
        <w:jc w:val="both"/>
        <w:rPr>
          <w:rFonts w:ascii="Arial" w:hAnsi="Arial" w:cs="Arial"/>
          <w:b/>
        </w:rPr>
      </w:pPr>
      <w:bookmarkStart w:id="1" w:name="_Toc402269726"/>
      <w:r w:rsidRPr="00181486">
        <w:rPr>
          <w:rFonts w:ascii="Arial" w:hAnsi="Arial" w:cs="Arial"/>
          <w:b/>
        </w:rPr>
        <w:t>2</w:t>
      </w:r>
      <w:r w:rsidR="0016317F" w:rsidRPr="00181486">
        <w:rPr>
          <w:rFonts w:ascii="Arial" w:hAnsi="Arial" w:cs="Arial"/>
          <w:b/>
        </w:rPr>
        <w:t xml:space="preserve">. </w:t>
      </w:r>
      <w:r w:rsidR="00A65300" w:rsidRPr="00181486">
        <w:rPr>
          <w:rFonts w:ascii="Arial" w:hAnsi="Arial" w:cs="Arial"/>
          <w:b/>
        </w:rPr>
        <w:t xml:space="preserve">Normativa </w:t>
      </w:r>
      <w:bookmarkEnd w:id="1"/>
      <w:r w:rsidRPr="00181486">
        <w:rPr>
          <w:rFonts w:ascii="Arial" w:hAnsi="Arial" w:cs="Arial"/>
          <w:b/>
        </w:rPr>
        <w:t>de referencia</w:t>
      </w:r>
    </w:p>
    <w:p w14:paraId="6A9606FD" w14:textId="77777777" w:rsidR="00A65300" w:rsidRPr="00181486" w:rsidRDefault="00A65300" w:rsidP="00A65300">
      <w:pPr>
        <w:rPr>
          <w:rFonts w:ascii="Arial" w:hAnsi="Arial" w:cs="Arial"/>
        </w:rPr>
      </w:pPr>
    </w:p>
    <w:p w14:paraId="18970336" w14:textId="77777777" w:rsidR="00A936AE" w:rsidRPr="00181486" w:rsidRDefault="00A936AE" w:rsidP="00A936AE">
      <w:pPr>
        <w:widowControl w:val="0"/>
        <w:ind w:left="567" w:hanging="567"/>
        <w:jc w:val="both"/>
        <w:rPr>
          <w:rFonts w:ascii="Arial" w:hAnsi="Arial" w:cs="Arial"/>
          <w:b/>
        </w:rPr>
      </w:pPr>
      <w:r w:rsidRPr="00181486">
        <w:rPr>
          <w:rFonts w:ascii="Arial" w:hAnsi="Arial" w:cs="Arial"/>
          <w:b/>
        </w:rPr>
        <w:t xml:space="preserve">2.1. Procedimiento para la valoración de las mermas en </w:t>
      </w:r>
      <w:r w:rsidR="00363F97" w:rsidRPr="00181486">
        <w:rPr>
          <w:rFonts w:ascii="Arial" w:hAnsi="Arial" w:cs="Arial"/>
          <w:b/>
        </w:rPr>
        <w:t>las plantas de regasificación</w:t>
      </w:r>
    </w:p>
    <w:p w14:paraId="7462E649" w14:textId="77777777" w:rsidR="00A936AE" w:rsidRPr="00181486" w:rsidRDefault="00A936AE" w:rsidP="00F269D7">
      <w:pPr>
        <w:pStyle w:val="Pa6"/>
        <w:jc w:val="both"/>
      </w:pPr>
    </w:p>
    <w:p w14:paraId="11297D27" w14:textId="626BC754" w:rsidR="00F269D7" w:rsidRPr="00181486" w:rsidRDefault="00F269D7" w:rsidP="00F269D7">
      <w:pPr>
        <w:pStyle w:val="Pa6"/>
        <w:jc w:val="both"/>
      </w:pPr>
      <w:r w:rsidRPr="00181486">
        <w:t xml:space="preserve">El artículo 2 de la </w:t>
      </w:r>
      <w:r w:rsidRPr="00B47C5C">
        <w:rPr>
          <w:b/>
        </w:rPr>
        <w:t>Orden ITC/1890/2010</w:t>
      </w:r>
      <w:r w:rsidRPr="00181486">
        <w:t>, en la redacción dada al mismo por la disposición final tercera de la Orden IET/2446/2013</w:t>
      </w:r>
      <w:r w:rsidR="00DA42B9">
        <w:t>,</w:t>
      </w:r>
      <w:r w:rsidR="00CA1502">
        <w:t xml:space="preserve"> modific</w:t>
      </w:r>
      <w:r w:rsidR="00CA1502" w:rsidRPr="00786E84">
        <w:t xml:space="preserve">ada </w:t>
      </w:r>
      <w:r w:rsidR="00DA42B9">
        <w:t xml:space="preserve">a su vez </w:t>
      </w:r>
      <w:r w:rsidR="00CA1502" w:rsidRPr="00786E84">
        <w:t xml:space="preserve">por la Orden IET/2736/2015, de 17 de diciembre, en su disposición final cuarta, </w:t>
      </w:r>
      <w:r w:rsidRPr="00786E84">
        <w:t>dispone que</w:t>
      </w:r>
      <w:r w:rsidRPr="00181486">
        <w:t>:</w:t>
      </w:r>
    </w:p>
    <w:p w14:paraId="7FB2F3BE" w14:textId="77777777" w:rsidR="00F269D7" w:rsidRPr="00181486" w:rsidRDefault="00F269D7" w:rsidP="00F269D7">
      <w:pPr>
        <w:pStyle w:val="Pa6"/>
        <w:jc w:val="both"/>
      </w:pPr>
    </w:p>
    <w:p w14:paraId="0F3DB12B" w14:textId="77777777" w:rsidR="00F269D7" w:rsidRPr="00181486" w:rsidRDefault="00F269D7" w:rsidP="00F269D7">
      <w:pPr>
        <w:pStyle w:val="Pa8"/>
        <w:spacing w:line="240" w:lineRule="auto"/>
        <w:ind w:left="709" w:hanging="340"/>
        <w:jc w:val="both"/>
        <w:rPr>
          <w:i/>
          <w:iCs/>
          <w:sz w:val="22"/>
          <w:szCs w:val="22"/>
        </w:rPr>
      </w:pPr>
      <w:r w:rsidRPr="00181486">
        <w:rPr>
          <w:b/>
          <w:i/>
          <w:sz w:val="22"/>
          <w:szCs w:val="22"/>
        </w:rPr>
        <w:t>“</w:t>
      </w:r>
      <w:r w:rsidRPr="00181486">
        <w:rPr>
          <w:i/>
          <w:sz w:val="22"/>
          <w:szCs w:val="22"/>
        </w:rPr>
        <w:t xml:space="preserve">Artículo 2. </w:t>
      </w:r>
      <w:r w:rsidRPr="00181486">
        <w:rPr>
          <w:i/>
          <w:iCs/>
          <w:sz w:val="22"/>
          <w:szCs w:val="22"/>
        </w:rPr>
        <w:t>Mermas en plantas de regasificación.</w:t>
      </w:r>
    </w:p>
    <w:p w14:paraId="4CC27CE3" w14:textId="77777777" w:rsidR="00F269D7" w:rsidRPr="00181486" w:rsidRDefault="00F269D7" w:rsidP="00F269D7">
      <w:pPr>
        <w:rPr>
          <w:sz w:val="22"/>
          <w:szCs w:val="22"/>
          <w:lang w:eastAsia="en-US"/>
        </w:rPr>
      </w:pPr>
    </w:p>
    <w:p w14:paraId="5C3DE821" w14:textId="77777777" w:rsidR="00F269D7" w:rsidRPr="00B47C5C" w:rsidRDefault="00F269D7" w:rsidP="00F269D7">
      <w:pPr>
        <w:pStyle w:val="Pa16"/>
        <w:spacing w:line="240" w:lineRule="auto"/>
        <w:ind w:left="426" w:firstLine="340"/>
        <w:jc w:val="both"/>
        <w:rPr>
          <w:i/>
          <w:sz w:val="22"/>
          <w:szCs w:val="22"/>
        </w:rPr>
      </w:pPr>
      <w:r w:rsidRPr="00B47C5C">
        <w:rPr>
          <w:i/>
          <w:sz w:val="22"/>
          <w:szCs w:val="22"/>
        </w:rPr>
        <w:t xml:space="preserve">1. De la totalidad del gas propiedad de los usuarios los titulares de plantas de regasificación descontarán, en concepto de mermas por pérdidas y diferencias de </w:t>
      </w:r>
      <w:r w:rsidRPr="00B47C5C">
        <w:rPr>
          <w:i/>
          <w:sz w:val="22"/>
          <w:szCs w:val="22"/>
        </w:rPr>
        <w:lastRenderedPageBreak/>
        <w:t>medición en las instalaciones, las cantidades de gas que resulten de la aplicación de los porcentajes que estén en vigor.</w:t>
      </w:r>
    </w:p>
    <w:p w14:paraId="4DFF27C2" w14:textId="77777777" w:rsidR="00F269D7" w:rsidRPr="00B47C5C" w:rsidRDefault="00F269D7" w:rsidP="00F269D7">
      <w:pPr>
        <w:pStyle w:val="Default"/>
        <w:rPr>
          <w:color w:val="auto"/>
          <w:sz w:val="22"/>
          <w:szCs w:val="22"/>
        </w:rPr>
      </w:pPr>
    </w:p>
    <w:p w14:paraId="50A51B49" w14:textId="77777777" w:rsidR="00F269D7" w:rsidRPr="00B47C5C" w:rsidRDefault="00F269D7" w:rsidP="00F269D7">
      <w:pPr>
        <w:pStyle w:val="Pa16"/>
        <w:spacing w:line="240" w:lineRule="auto"/>
        <w:ind w:left="426" w:firstLine="340"/>
        <w:jc w:val="both"/>
        <w:rPr>
          <w:i/>
          <w:sz w:val="22"/>
          <w:szCs w:val="22"/>
        </w:rPr>
      </w:pPr>
      <w:r w:rsidRPr="00B47C5C">
        <w:rPr>
          <w:i/>
          <w:sz w:val="22"/>
          <w:szCs w:val="22"/>
        </w:rPr>
        <w:t>2. Antes de la finalización del mes «m+3» (siendo «m» el mes en curso) los titulares de la</w:t>
      </w:r>
      <w:r w:rsidR="00E94893" w:rsidRPr="00B47C5C">
        <w:rPr>
          <w:i/>
          <w:sz w:val="22"/>
          <w:szCs w:val="22"/>
        </w:rPr>
        <w:t>s</w:t>
      </w:r>
      <w:r w:rsidRPr="00B47C5C">
        <w:rPr>
          <w:i/>
          <w:sz w:val="22"/>
          <w:szCs w:val="22"/>
        </w:rPr>
        <w:t xml:space="preserve"> plantas de regasificación calcularán para cada mes «m» y planta el gas retenido en concepto de mermas reconocidas, las mermas reales y el saldo de mermas resultante calculado como la diferencia de las mermas reales menos las reconocidas. Los titulares de las plantas repartirán entre los usuarios el saldo del mes «m», comunicándoles dicho valor junto con la información necesaria para reproducir el cálculo, aplicándose los protocolos de detalle de las Normas de Gestión Técnica que correspondan. </w:t>
      </w:r>
    </w:p>
    <w:p w14:paraId="6914A93E" w14:textId="77777777" w:rsidR="00F269D7" w:rsidRPr="00B47C5C" w:rsidRDefault="00F269D7" w:rsidP="00F269D7">
      <w:pPr>
        <w:pStyle w:val="Default"/>
        <w:rPr>
          <w:color w:val="auto"/>
          <w:sz w:val="22"/>
          <w:szCs w:val="22"/>
        </w:rPr>
      </w:pPr>
    </w:p>
    <w:p w14:paraId="58AD94AD" w14:textId="77777777" w:rsidR="00F269D7" w:rsidRDefault="00F269D7" w:rsidP="00F269D7">
      <w:pPr>
        <w:pStyle w:val="Pa16"/>
        <w:spacing w:line="240" w:lineRule="auto"/>
        <w:ind w:left="426" w:firstLine="340"/>
        <w:jc w:val="both"/>
        <w:rPr>
          <w:i/>
          <w:sz w:val="22"/>
          <w:szCs w:val="22"/>
        </w:rPr>
      </w:pPr>
      <w:r w:rsidRPr="00B47C5C">
        <w:rPr>
          <w:i/>
          <w:sz w:val="22"/>
          <w:szCs w:val="22"/>
        </w:rPr>
        <w:t>3. En caso de que la cantidad de gas descontada por el titular de la planta por la aplicación de los coeficientes de mermas en vigor exceda las mermas reales (saldo de mermas negativo), la diferencia permanecerá temporalmente bajo titularidad del Gestor Técnico del Sistema como gas de maniobra.</w:t>
      </w:r>
    </w:p>
    <w:p w14:paraId="162D92EF" w14:textId="77777777" w:rsidR="00654340" w:rsidRPr="00654340" w:rsidRDefault="00654340" w:rsidP="00654340">
      <w:pPr>
        <w:pStyle w:val="Pa16"/>
        <w:spacing w:line="240" w:lineRule="auto"/>
        <w:ind w:left="426" w:firstLine="340"/>
        <w:jc w:val="both"/>
        <w:rPr>
          <w:i/>
          <w:sz w:val="22"/>
          <w:szCs w:val="22"/>
        </w:rPr>
      </w:pPr>
    </w:p>
    <w:p w14:paraId="6D6A8562" w14:textId="77777777" w:rsidR="00CA1502" w:rsidRPr="00654340" w:rsidRDefault="00F269D7" w:rsidP="00654340">
      <w:pPr>
        <w:pStyle w:val="Pa16"/>
        <w:spacing w:line="240" w:lineRule="auto"/>
        <w:ind w:left="426" w:firstLine="340"/>
        <w:jc w:val="both"/>
        <w:rPr>
          <w:b/>
          <w:i/>
          <w:sz w:val="22"/>
          <w:szCs w:val="22"/>
        </w:rPr>
      </w:pPr>
      <w:r w:rsidRPr="00B47C5C">
        <w:rPr>
          <w:i/>
          <w:sz w:val="22"/>
          <w:szCs w:val="22"/>
        </w:rPr>
        <w:t xml:space="preserve">4. </w:t>
      </w:r>
      <w:r w:rsidR="00CA1502" w:rsidRPr="00181486">
        <w:rPr>
          <w:i/>
          <w:sz w:val="22"/>
          <w:szCs w:val="22"/>
        </w:rPr>
        <w:t xml:space="preserve">Si la cantidad de gas descontada por el titular de la planta por la aplicación de los coeficientes en vigor fuese inferior a las mermas reales (saldo de mermas positivo), la diferencia se cubrirá temporalmente mediante una disminución </w:t>
      </w:r>
      <w:r w:rsidR="00CA1502" w:rsidRPr="00654340">
        <w:rPr>
          <w:b/>
          <w:i/>
          <w:sz w:val="22"/>
          <w:szCs w:val="22"/>
        </w:rPr>
        <w:t>del saldo de gas de la cuenta del saldo de mermas de la planta de regasificación</w:t>
      </w:r>
      <w:r w:rsidR="00CA1502" w:rsidRPr="00181486">
        <w:rPr>
          <w:i/>
          <w:sz w:val="22"/>
          <w:szCs w:val="22"/>
        </w:rPr>
        <w:t xml:space="preserve">. El Gestor Técnico del Sistema impartirá las instrucciones técnicas necesarias para lograr una ubicación adecuada de dichas cantidades de gas, de forma que no interfiera con el gas almacenado por los usuarios. </w:t>
      </w:r>
      <w:r w:rsidR="00CA1502" w:rsidRPr="00654340">
        <w:rPr>
          <w:b/>
          <w:i/>
          <w:sz w:val="22"/>
          <w:szCs w:val="22"/>
        </w:rPr>
        <w:t>El exceso de gas que se determine de la cuenta del saldo de mermas de la planta se destinará a gas de operación o gas talón.</w:t>
      </w:r>
    </w:p>
    <w:p w14:paraId="2A8BE109" w14:textId="77777777" w:rsidR="00F269D7" w:rsidRPr="00B47C5C" w:rsidRDefault="00F269D7" w:rsidP="00CA1502">
      <w:pPr>
        <w:pStyle w:val="Pa16"/>
        <w:spacing w:line="240" w:lineRule="auto"/>
        <w:ind w:left="426" w:firstLine="340"/>
        <w:jc w:val="both"/>
        <w:rPr>
          <w:sz w:val="22"/>
          <w:szCs w:val="22"/>
        </w:rPr>
      </w:pPr>
    </w:p>
    <w:p w14:paraId="5344E76B" w14:textId="77777777" w:rsidR="00F269D7" w:rsidRPr="00B47C5C" w:rsidRDefault="00F269D7" w:rsidP="00F269D7">
      <w:pPr>
        <w:pStyle w:val="Pa16"/>
        <w:spacing w:line="240" w:lineRule="auto"/>
        <w:ind w:left="426" w:firstLine="340"/>
        <w:jc w:val="both"/>
        <w:rPr>
          <w:i/>
          <w:sz w:val="22"/>
          <w:szCs w:val="22"/>
        </w:rPr>
      </w:pPr>
      <w:r w:rsidRPr="00B47C5C">
        <w:rPr>
          <w:i/>
          <w:sz w:val="22"/>
          <w:szCs w:val="22"/>
        </w:rPr>
        <w:t xml:space="preserve">5. Anualmente, antes del 1 de abril de cada año, los titulares de las plantas de regasificación </w:t>
      </w:r>
      <w:r w:rsidRPr="00B47C5C">
        <w:rPr>
          <w:b/>
          <w:i/>
          <w:sz w:val="22"/>
          <w:szCs w:val="22"/>
        </w:rPr>
        <w:t>calcularán y comunicarán a cada usuario el saldo de mermas del año anterior, calculado como la suma de los saldos mensuales asignados en las mismas</w:t>
      </w:r>
      <w:r w:rsidRPr="00B47C5C">
        <w:rPr>
          <w:i/>
          <w:sz w:val="22"/>
          <w:szCs w:val="22"/>
        </w:rPr>
        <w:t>, y elaborarán y remitirán al Gestor Técnico del Sistema un informe anual sobre las mermas reales, las mermas reconocidas, el saldo de mermas resultante y el reparto de dicho saldo entre sus usuarios, de acuerdo con el protocolo de detalle de las Normas de Gestión Técnica correspondiente.</w:t>
      </w:r>
    </w:p>
    <w:p w14:paraId="156EC2D9" w14:textId="77777777" w:rsidR="00F269D7" w:rsidRPr="00B47C5C" w:rsidRDefault="00F269D7" w:rsidP="00F269D7">
      <w:pPr>
        <w:pStyle w:val="Default"/>
        <w:rPr>
          <w:color w:val="auto"/>
          <w:sz w:val="22"/>
          <w:szCs w:val="22"/>
        </w:rPr>
      </w:pPr>
    </w:p>
    <w:p w14:paraId="5535C38A" w14:textId="77777777" w:rsidR="00F269D7" w:rsidRPr="00B47C5C" w:rsidRDefault="00F269D7" w:rsidP="00F269D7">
      <w:pPr>
        <w:pStyle w:val="Pa16"/>
        <w:spacing w:line="240" w:lineRule="auto"/>
        <w:ind w:left="426" w:firstLine="340"/>
        <w:jc w:val="both"/>
        <w:rPr>
          <w:i/>
          <w:sz w:val="22"/>
          <w:szCs w:val="22"/>
        </w:rPr>
      </w:pPr>
      <w:r w:rsidRPr="00B47C5C">
        <w:rPr>
          <w:i/>
          <w:sz w:val="22"/>
          <w:szCs w:val="22"/>
        </w:rPr>
        <w:t>6. Los usuarios podrán solicitar la revisión de los saldos de mermas mensuales y anuales asignados, conforme al procedimiento de las Normas de Gestión Técnica del Sistema correspondiente.</w:t>
      </w:r>
    </w:p>
    <w:p w14:paraId="0A9B74A1" w14:textId="77777777" w:rsidR="00F269D7" w:rsidRPr="00B47C5C" w:rsidRDefault="00F269D7" w:rsidP="00F269D7">
      <w:pPr>
        <w:pStyle w:val="Default"/>
        <w:rPr>
          <w:color w:val="auto"/>
          <w:sz w:val="22"/>
          <w:szCs w:val="22"/>
        </w:rPr>
      </w:pPr>
    </w:p>
    <w:p w14:paraId="08D602C2" w14:textId="77777777" w:rsidR="00F269D7" w:rsidRPr="00B47C5C" w:rsidRDefault="00F269D7" w:rsidP="00F269D7">
      <w:pPr>
        <w:pStyle w:val="Pa16"/>
        <w:spacing w:line="240" w:lineRule="auto"/>
        <w:ind w:left="426" w:firstLine="340"/>
        <w:jc w:val="both"/>
        <w:rPr>
          <w:i/>
          <w:sz w:val="22"/>
          <w:szCs w:val="22"/>
        </w:rPr>
      </w:pPr>
      <w:r w:rsidRPr="00B47C5C">
        <w:rPr>
          <w:i/>
          <w:sz w:val="22"/>
          <w:szCs w:val="22"/>
        </w:rPr>
        <w:t xml:space="preserve">7. Teniendo en cuenta la información comunicada por los operadores, </w:t>
      </w:r>
      <w:r w:rsidRPr="00B47C5C">
        <w:rPr>
          <w:b/>
          <w:i/>
          <w:sz w:val="22"/>
          <w:szCs w:val="22"/>
        </w:rPr>
        <w:t>el Gestor Técnico del Sistema supervisará</w:t>
      </w:r>
      <w:r w:rsidRPr="00B47C5C">
        <w:rPr>
          <w:i/>
          <w:sz w:val="22"/>
          <w:szCs w:val="22"/>
        </w:rPr>
        <w:t xml:space="preserve"> la correcta determinación de las mermas reales, las mermas retenidas, los saldos de mermas y su asignación a los usuarios, </w:t>
      </w:r>
      <w:r w:rsidRPr="00B47C5C">
        <w:rPr>
          <w:b/>
          <w:i/>
          <w:sz w:val="22"/>
          <w:szCs w:val="22"/>
        </w:rPr>
        <w:t>y elaborará un informe que remitirá</w:t>
      </w:r>
      <w:r w:rsidRPr="00B47C5C">
        <w:rPr>
          <w:i/>
          <w:sz w:val="22"/>
          <w:szCs w:val="22"/>
        </w:rPr>
        <w:t xml:space="preserve"> a la Dirección General de Política Energética y Minas y </w:t>
      </w:r>
      <w:r w:rsidRPr="00B47C5C">
        <w:rPr>
          <w:b/>
          <w:i/>
          <w:sz w:val="22"/>
          <w:szCs w:val="22"/>
        </w:rPr>
        <w:t>a la Comisión Nacional de los Mercados y la Competencia</w:t>
      </w:r>
      <w:r w:rsidRPr="00B47C5C">
        <w:rPr>
          <w:i/>
          <w:sz w:val="22"/>
          <w:szCs w:val="22"/>
        </w:rPr>
        <w:t xml:space="preserve"> antes del 1 de mayo de cada año. Dicho informe cumplirá los requisitos establecidos en el protocolo de detalle de las Normas de Gestión Técnica del Sistema correspondiente.</w:t>
      </w:r>
    </w:p>
    <w:p w14:paraId="15347DC8" w14:textId="77777777" w:rsidR="00F269D7" w:rsidRPr="00B47C5C" w:rsidRDefault="00F269D7" w:rsidP="00F269D7">
      <w:pPr>
        <w:pStyle w:val="Default"/>
        <w:rPr>
          <w:color w:val="auto"/>
          <w:sz w:val="22"/>
          <w:szCs w:val="22"/>
        </w:rPr>
      </w:pPr>
    </w:p>
    <w:p w14:paraId="19CA2911" w14:textId="77777777" w:rsidR="00F269D7" w:rsidRPr="00181486" w:rsidRDefault="00F269D7" w:rsidP="00F269D7">
      <w:pPr>
        <w:pStyle w:val="Pa16"/>
        <w:spacing w:line="240" w:lineRule="auto"/>
        <w:ind w:left="426" w:firstLine="340"/>
        <w:jc w:val="both"/>
        <w:rPr>
          <w:i/>
          <w:sz w:val="22"/>
          <w:szCs w:val="22"/>
        </w:rPr>
      </w:pPr>
      <w:r w:rsidRPr="00B47C5C">
        <w:rPr>
          <w:i/>
          <w:sz w:val="22"/>
          <w:szCs w:val="22"/>
        </w:rPr>
        <w:t>8. Si en el desarrollo de esta labor de supervisión el Gestor Técnico del Sistema detectase un defecto en la determinación y reparto de los saldos de mermas que conllevara la modificación de los mismos, el Gestor Técnico del Sistema comunicará y justificará al operador de la instalación dicho error lo antes posible, antes del 25 de abril de cada año, con el fin de que el operador pueda corregir su</w:t>
      </w:r>
      <w:r w:rsidRPr="00181486">
        <w:rPr>
          <w:i/>
          <w:sz w:val="22"/>
          <w:szCs w:val="22"/>
        </w:rPr>
        <w:t xml:space="preserve"> asignación de saldos e indicar dicha corrección a los usuarios afectados.</w:t>
      </w:r>
    </w:p>
    <w:p w14:paraId="7B96289F" w14:textId="77777777" w:rsidR="00F269D7" w:rsidRPr="00B47C5C" w:rsidRDefault="00F269D7" w:rsidP="00F269D7">
      <w:pPr>
        <w:pStyle w:val="Default"/>
        <w:rPr>
          <w:color w:val="auto"/>
          <w:sz w:val="22"/>
          <w:szCs w:val="22"/>
        </w:rPr>
      </w:pPr>
    </w:p>
    <w:p w14:paraId="4AA1457C" w14:textId="77777777" w:rsidR="00F269D7" w:rsidRPr="00B47C5C" w:rsidRDefault="00F269D7" w:rsidP="00F269D7">
      <w:pPr>
        <w:pStyle w:val="Pa16"/>
        <w:spacing w:line="240" w:lineRule="auto"/>
        <w:ind w:left="426" w:firstLine="340"/>
        <w:jc w:val="both"/>
        <w:rPr>
          <w:i/>
          <w:sz w:val="22"/>
          <w:szCs w:val="22"/>
        </w:rPr>
      </w:pPr>
      <w:r w:rsidRPr="00B47C5C">
        <w:rPr>
          <w:i/>
          <w:sz w:val="22"/>
          <w:szCs w:val="22"/>
        </w:rPr>
        <w:t>9. Antes del 1 de junio de cada año, el Gestor Técnico del Sistema publicará los saldos de mermas anuales y comunicará a los usuarios, a los titulares de las plantas y a la Comisión Nacional de los Mercados y la Competencia el saldo que les corresponde. Asimismo, publicará en su página web el valor del precio medio del gas de operación del año al que corresponden los saldos de mermas. Este valor se calculará como la media aritmética de los precios mensuales del gas de operación de dicho año. Cuando en un mismo mes del año exista más de un precio de gas de operación, se calculará primero la media aritmética del mes en cuestión y se empleará ésta para el cálculo de la media aritmética anual. En caso de discrepancia sobre la decisión del Gestor Técnico del Sistema, relativo al saldo de mermas, se podrá presentar un conflicto de gestión del sistema ante la Comisión Nacional de los Mercados y la Competencia.</w:t>
      </w:r>
    </w:p>
    <w:p w14:paraId="27F38B47" w14:textId="77777777" w:rsidR="00F269D7" w:rsidRPr="00B47C5C" w:rsidRDefault="00F269D7" w:rsidP="00F269D7">
      <w:pPr>
        <w:pStyle w:val="Default"/>
        <w:rPr>
          <w:color w:val="auto"/>
          <w:sz w:val="22"/>
          <w:szCs w:val="22"/>
        </w:rPr>
      </w:pPr>
    </w:p>
    <w:p w14:paraId="4532E57B" w14:textId="77777777" w:rsidR="00CA1502" w:rsidRPr="00B10501" w:rsidRDefault="00F269D7" w:rsidP="00654340">
      <w:pPr>
        <w:pStyle w:val="Pa16"/>
        <w:spacing w:line="240" w:lineRule="auto"/>
        <w:ind w:left="426" w:firstLine="340"/>
        <w:jc w:val="both"/>
        <w:rPr>
          <w:i/>
          <w:sz w:val="22"/>
          <w:szCs w:val="22"/>
        </w:rPr>
      </w:pPr>
      <w:r w:rsidRPr="00B47C5C">
        <w:rPr>
          <w:i/>
          <w:sz w:val="22"/>
          <w:szCs w:val="22"/>
        </w:rPr>
        <w:t xml:space="preserve">10. </w:t>
      </w:r>
      <w:r w:rsidR="00CA1502" w:rsidRPr="00181486">
        <w:rPr>
          <w:i/>
          <w:sz w:val="22"/>
          <w:szCs w:val="22"/>
        </w:rPr>
        <w:t xml:space="preserve">Cuando el saldo de mermas anual de una planta de regasificación sea negativo, durante los 30 días posteriores a la publicación del saldo, el Gestor Técnico del Sistema pondrá a disposición de cada usuario de la planta, </w:t>
      </w:r>
      <w:r w:rsidR="00CA1502" w:rsidRPr="00654340">
        <w:rPr>
          <w:b/>
          <w:i/>
          <w:sz w:val="22"/>
          <w:szCs w:val="22"/>
        </w:rPr>
        <w:t>a cuenta del gas acumulado como saldo de mermas de la planta de regasificación,</w:t>
      </w:r>
      <w:r w:rsidR="00CA1502" w:rsidRPr="00181486">
        <w:rPr>
          <w:i/>
          <w:sz w:val="22"/>
          <w:szCs w:val="22"/>
        </w:rPr>
        <w:t xml:space="preserve"> un volumen de gas diario equivalente a la mitad del saldo de mermas anual del usuario repartida proporcionalmente en dichos 30 días, en la planta en cuestión. Además, la Comisión Nacional de los Mercados y la Competencia valorará económicamente la mitad del saldo de mermas de la planta, empleando para ello el precio medio del gas de operación del año al que corresponda el saldo. La cantidad resultante será adicionada a la retribución reconocida al titular de la planta en el año en curso, </w:t>
      </w:r>
      <w:r w:rsidR="00CA1502" w:rsidRPr="00B10501">
        <w:rPr>
          <w:i/>
          <w:sz w:val="22"/>
          <w:szCs w:val="22"/>
        </w:rPr>
        <w:t>aplicándose en la primera liquidación</w:t>
      </w:r>
      <w:r w:rsidR="00CA1502">
        <w:rPr>
          <w:i/>
          <w:sz w:val="22"/>
          <w:szCs w:val="22"/>
        </w:rPr>
        <w:t xml:space="preserve"> disponible como un pago único.</w:t>
      </w:r>
    </w:p>
    <w:p w14:paraId="4C9A6C7C" w14:textId="77777777" w:rsidR="00F269D7" w:rsidRPr="00654340" w:rsidRDefault="00F269D7" w:rsidP="00CA1502">
      <w:pPr>
        <w:pStyle w:val="Pa16"/>
        <w:spacing w:line="240" w:lineRule="auto"/>
        <w:ind w:left="426" w:firstLine="340"/>
        <w:jc w:val="both"/>
        <w:rPr>
          <w:i/>
          <w:sz w:val="22"/>
          <w:szCs w:val="22"/>
        </w:rPr>
      </w:pPr>
    </w:p>
    <w:p w14:paraId="5B40B1DA" w14:textId="77777777" w:rsidR="00F269D7" w:rsidRPr="00B47C5C" w:rsidRDefault="00F269D7" w:rsidP="00F269D7">
      <w:pPr>
        <w:pStyle w:val="Pa16"/>
        <w:spacing w:line="240" w:lineRule="auto"/>
        <w:ind w:left="426" w:firstLine="340"/>
        <w:jc w:val="both"/>
        <w:rPr>
          <w:i/>
          <w:sz w:val="22"/>
          <w:szCs w:val="22"/>
        </w:rPr>
      </w:pPr>
      <w:r w:rsidRPr="00B47C5C">
        <w:rPr>
          <w:i/>
          <w:sz w:val="22"/>
          <w:szCs w:val="22"/>
        </w:rPr>
        <w:t>11. Cuando el saldo de mermas anual en una planta de regasificación sea positivo, la Comisión Nacional de los Mercados y la Competencia valorará dicho saldo aplicando el precio medio del gas de operación del año al que corresponde el saldo. La cantidad resultante será descontada de la retribución reconocida al titular para el año en curso, aplicándose en la primera liquidación disponible como un pago único.</w:t>
      </w:r>
    </w:p>
    <w:p w14:paraId="5BF3EC1C" w14:textId="77777777" w:rsidR="00F269D7" w:rsidRPr="00B47C5C" w:rsidRDefault="00F269D7" w:rsidP="00F269D7">
      <w:pPr>
        <w:pStyle w:val="Default"/>
        <w:rPr>
          <w:color w:val="auto"/>
          <w:sz w:val="22"/>
          <w:szCs w:val="22"/>
        </w:rPr>
      </w:pPr>
    </w:p>
    <w:p w14:paraId="37B5C7F0" w14:textId="77777777" w:rsidR="00F269D7" w:rsidRPr="00B47C5C" w:rsidRDefault="00F269D7" w:rsidP="00F269D7">
      <w:pPr>
        <w:pStyle w:val="Pa16"/>
        <w:spacing w:line="240" w:lineRule="auto"/>
        <w:ind w:left="426" w:firstLine="340"/>
        <w:jc w:val="both"/>
        <w:rPr>
          <w:i/>
          <w:sz w:val="22"/>
          <w:szCs w:val="22"/>
        </w:rPr>
      </w:pPr>
      <w:r w:rsidRPr="00B47C5C">
        <w:rPr>
          <w:i/>
          <w:sz w:val="22"/>
          <w:szCs w:val="22"/>
        </w:rPr>
        <w:t>12. Anualmente, la Comisión Nacional de los Mercados y la Competencia, con base en el informe elaborado por el Gestor Técnico del Sistema sobre las mermas en las plantas de regasificación, podrá proponer a la Dirección General de Política Energética y Minas nuevos coeficientes de mermas reconocidas en estas instalaciones, si así lo considerase necesario.”</w:t>
      </w:r>
    </w:p>
    <w:p w14:paraId="53C40CE4" w14:textId="77777777" w:rsidR="00F269D7" w:rsidRPr="00181486" w:rsidRDefault="00F269D7" w:rsidP="00F269D7">
      <w:pPr>
        <w:pStyle w:val="Pa6"/>
        <w:spacing w:line="240" w:lineRule="auto"/>
        <w:jc w:val="both"/>
      </w:pPr>
    </w:p>
    <w:p w14:paraId="232F6457" w14:textId="409C9B7B" w:rsidR="00181486" w:rsidRPr="00B10501" w:rsidRDefault="00181486" w:rsidP="00181486">
      <w:pPr>
        <w:autoSpaceDE w:val="0"/>
        <w:autoSpaceDN w:val="0"/>
        <w:adjustRightInd w:val="0"/>
        <w:jc w:val="both"/>
        <w:rPr>
          <w:rFonts w:ascii="Arial" w:hAnsi="Arial" w:cs="Arial"/>
        </w:rPr>
      </w:pPr>
      <w:r w:rsidRPr="00B10501">
        <w:rPr>
          <w:rFonts w:ascii="Arial" w:hAnsi="Arial" w:cs="Arial"/>
        </w:rPr>
        <w:t xml:space="preserve">Por </w:t>
      </w:r>
      <w:r w:rsidR="00B47C5C">
        <w:rPr>
          <w:rFonts w:ascii="Arial" w:hAnsi="Arial" w:cs="Arial"/>
        </w:rPr>
        <w:t>último</w:t>
      </w:r>
      <w:r w:rsidRPr="00B10501">
        <w:rPr>
          <w:rFonts w:ascii="Arial" w:hAnsi="Arial" w:cs="Arial"/>
        </w:rPr>
        <w:t xml:space="preserve">, </w:t>
      </w:r>
      <w:r w:rsidR="00B47C5C">
        <w:rPr>
          <w:rFonts w:ascii="Arial" w:hAnsi="Arial" w:cs="Arial"/>
        </w:rPr>
        <w:t xml:space="preserve">cabe citar </w:t>
      </w:r>
      <w:r w:rsidR="005D51BC">
        <w:rPr>
          <w:rFonts w:ascii="Arial" w:hAnsi="Arial" w:cs="Arial"/>
        </w:rPr>
        <w:t>la propuesta</w:t>
      </w:r>
      <w:r w:rsidR="00503181">
        <w:rPr>
          <w:rFonts w:ascii="Arial" w:hAnsi="Arial" w:cs="Arial"/>
        </w:rPr>
        <w:t xml:space="preserve"> de</w:t>
      </w:r>
      <w:r w:rsidRPr="00B10501">
        <w:rPr>
          <w:rFonts w:ascii="Arial" w:hAnsi="Arial" w:cs="Arial"/>
        </w:rPr>
        <w:t xml:space="preserve"> </w:t>
      </w:r>
      <w:r w:rsidR="002016C6" w:rsidRPr="00B10501">
        <w:rPr>
          <w:rFonts w:ascii="Arial" w:hAnsi="Arial" w:cs="Arial"/>
          <w:b/>
        </w:rPr>
        <w:t>Protocolo PD-19</w:t>
      </w:r>
      <w:r w:rsidRPr="00B10501">
        <w:rPr>
          <w:rFonts w:ascii="Arial" w:hAnsi="Arial" w:cs="Arial"/>
        </w:rPr>
        <w:t xml:space="preserve"> </w:t>
      </w:r>
      <w:r w:rsidR="005D51BC">
        <w:rPr>
          <w:rFonts w:ascii="Arial" w:hAnsi="Arial" w:cs="Arial"/>
        </w:rPr>
        <w:t xml:space="preserve">de las Normas de Gestión Técnica del Sistema (en adelante, NGTS) </w:t>
      </w:r>
      <w:r w:rsidR="009F2F13" w:rsidRPr="00B10501">
        <w:rPr>
          <w:rFonts w:ascii="Arial" w:hAnsi="Arial" w:cs="Arial"/>
        </w:rPr>
        <w:t xml:space="preserve">para </w:t>
      </w:r>
      <w:r w:rsidR="00B47C5C">
        <w:rPr>
          <w:rFonts w:ascii="Arial" w:hAnsi="Arial" w:cs="Arial"/>
        </w:rPr>
        <w:t>el c</w:t>
      </w:r>
      <w:r w:rsidR="00B10501" w:rsidRPr="00B10501">
        <w:rPr>
          <w:rFonts w:ascii="Arial" w:hAnsi="Arial" w:cs="Arial"/>
        </w:rPr>
        <w:t>álculo, supervisión y liquidación de mermas en plantas de regasificación</w:t>
      </w:r>
      <w:r w:rsidR="00B47C5C">
        <w:rPr>
          <w:rFonts w:ascii="Arial" w:hAnsi="Arial" w:cs="Arial"/>
        </w:rPr>
        <w:t>, que</w:t>
      </w:r>
      <w:r w:rsidR="00B10501" w:rsidRPr="00B10501">
        <w:rPr>
          <w:rFonts w:ascii="Arial" w:hAnsi="Arial" w:cs="Arial"/>
        </w:rPr>
        <w:t xml:space="preserve"> </w:t>
      </w:r>
      <w:r w:rsidR="00265853">
        <w:rPr>
          <w:rFonts w:ascii="Arial" w:hAnsi="Arial" w:cs="Arial"/>
        </w:rPr>
        <w:t xml:space="preserve">se encuentra </w:t>
      </w:r>
      <w:r w:rsidR="00265853" w:rsidRPr="00B10501">
        <w:rPr>
          <w:rFonts w:ascii="Arial" w:hAnsi="Arial" w:cs="Arial"/>
        </w:rPr>
        <w:t>actualmente</w:t>
      </w:r>
      <w:r w:rsidR="00265853">
        <w:rPr>
          <w:rFonts w:ascii="Arial" w:hAnsi="Arial" w:cs="Arial"/>
        </w:rPr>
        <w:t xml:space="preserve"> </w:t>
      </w:r>
      <w:r w:rsidR="005D51BC">
        <w:rPr>
          <w:rFonts w:ascii="Arial" w:hAnsi="Arial" w:cs="Arial"/>
        </w:rPr>
        <w:t>pendiente de aprobación por el Ministerio</w:t>
      </w:r>
      <w:r w:rsidR="00F64938">
        <w:rPr>
          <w:rFonts w:ascii="Arial" w:hAnsi="Arial" w:cs="Arial"/>
        </w:rPr>
        <w:t>.</w:t>
      </w:r>
    </w:p>
    <w:p w14:paraId="6C292B74" w14:textId="77777777" w:rsidR="00181486" w:rsidRPr="00327123" w:rsidRDefault="00181486" w:rsidP="00A936AE">
      <w:pPr>
        <w:widowControl w:val="0"/>
        <w:ind w:left="567" w:hanging="567"/>
        <w:jc w:val="both"/>
        <w:rPr>
          <w:rFonts w:ascii="Arial" w:hAnsi="Arial" w:cs="Arial"/>
        </w:rPr>
      </w:pPr>
    </w:p>
    <w:p w14:paraId="0274F6C8" w14:textId="77777777" w:rsidR="00A936AE" w:rsidRPr="0043019B" w:rsidRDefault="00A936AE" w:rsidP="00A936AE">
      <w:pPr>
        <w:widowControl w:val="0"/>
        <w:ind w:left="567" w:hanging="567"/>
        <w:jc w:val="both"/>
        <w:rPr>
          <w:rFonts w:ascii="Arial" w:hAnsi="Arial" w:cs="Arial"/>
          <w:b/>
        </w:rPr>
      </w:pPr>
      <w:r w:rsidRPr="00B10501">
        <w:rPr>
          <w:rFonts w:ascii="Arial" w:hAnsi="Arial" w:cs="Arial"/>
          <w:b/>
        </w:rPr>
        <w:t xml:space="preserve">2.2. Funciones de la </w:t>
      </w:r>
      <w:r w:rsidRPr="0043019B">
        <w:rPr>
          <w:rFonts w:ascii="Arial" w:hAnsi="Arial" w:cs="Arial"/>
          <w:b/>
        </w:rPr>
        <w:t>CNMC</w:t>
      </w:r>
    </w:p>
    <w:p w14:paraId="5C2C1106" w14:textId="77777777" w:rsidR="00A936AE" w:rsidRPr="0043019B" w:rsidRDefault="00A936AE" w:rsidP="00A65300">
      <w:pPr>
        <w:rPr>
          <w:rFonts w:ascii="Arial" w:hAnsi="Arial" w:cs="Arial"/>
        </w:rPr>
      </w:pPr>
    </w:p>
    <w:p w14:paraId="21960021" w14:textId="77777777" w:rsidR="004F6436" w:rsidRPr="0043019B" w:rsidRDefault="00932FCB" w:rsidP="004F6436">
      <w:pPr>
        <w:pStyle w:val="Pa6"/>
        <w:jc w:val="both"/>
      </w:pPr>
      <w:r w:rsidRPr="0043019B">
        <w:t>E</w:t>
      </w:r>
      <w:r w:rsidR="001245D9" w:rsidRPr="0043019B">
        <w:t>l artículo 2 de la Orden ITC/189</w:t>
      </w:r>
      <w:r w:rsidRPr="0043019B">
        <w:t>0</w:t>
      </w:r>
      <w:r w:rsidR="004F6436" w:rsidRPr="0043019B">
        <w:t>/2</w:t>
      </w:r>
      <w:r w:rsidRPr="0043019B">
        <w:t>010</w:t>
      </w:r>
      <w:r w:rsidR="004F6436" w:rsidRPr="0043019B">
        <w:t>, modificada por las Órdenes IET/2446/2013, de 27 de diciembre, e IET/2736/2015, de 17 de diciembre, asigna a la CNMC las siguientes funciones:</w:t>
      </w:r>
    </w:p>
    <w:p w14:paraId="128FC084" w14:textId="77777777" w:rsidR="004F6436" w:rsidRPr="0043019B" w:rsidRDefault="004F6436" w:rsidP="004F6436">
      <w:pPr>
        <w:pStyle w:val="Pa6"/>
        <w:ind w:left="360"/>
        <w:jc w:val="both"/>
      </w:pPr>
    </w:p>
    <w:p w14:paraId="2FD94938" w14:textId="77777777" w:rsidR="004F6436" w:rsidRPr="0043019B" w:rsidRDefault="004F6436" w:rsidP="004F6436">
      <w:pPr>
        <w:pStyle w:val="Pa6"/>
        <w:numPr>
          <w:ilvl w:val="0"/>
          <w:numId w:val="32"/>
        </w:numPr>
        <w:jc w:val="both"/>
      </w:pPr>
      <w:r w:rsidRPr="0043019B">
        <w:t xml:space="preserve">Valorar económicamente los saldos de mermas anuales de los operadores de </w:t>
      </w:r>
      <w:r w:rsidR="00932FCB" w:rsidRPr="0043019B">
        <w:t>plantas de regasificación de GNL</w:t>
      </w:r>
      <w:r w:rsidRPr="0043019B">
        <w:t xml:space="preserve">, que serán proporcionados anualmente por el GTS. Esta valoración económica pasará a aumentar o reducir la retribución reconocida al titular de la red en el año en curso, aplicándose en la primera liquidación disponible como un pago único. </w:t>
      </w:r>
    </w:p>
    <w:p w14:paraId="3DDAA4D6" w14:textId="77777777" w:rsidR="004F6436" w:rsidRPr="0043019B" w:rsidRDefault="004F6436" w:rsidP="004F6436">
      <w:pPr>
        <w:pStyle w:val="Pa6"/>
        <w:ind w:left="360"/>
        <w:jc w:val="both"/>
      </w:pPr>
    </w:p>
    <w:p w14:paraId="07F28820" w14:textId="77777777" w:rsidR="004F6436" w:rsidRPr="0043019B" w:rsidRDefault="004F6436" w:rsidP="004F6436">
      <w:pPr>
        <w:pStyle w:val="Pa6"/>
        <w:numPr>
          <w:ilvl w:val="0"/>
          <w:numId w:val="32"/>
        </w:numPr>
        <w:jc w:val="both"/>
      </w:pPr>
      <w:r w:rsidRPr="0043019B">
        <w:t xml:space="preserve">Anualmente la CNMC, con base en el informe elaborado por el GTS sobre las mermas en las redes de </w:t>
      </w:r>
      <w:r w:rsidR="00327123">
        <w:t>regasificación</w:t>
      </w:r>
      <w:r w:rsidRPr="0043019B">
        <w:t xml:space="preserve">, podrá proponer a </w:t>
      </w:r>
      <w:r w:rsidR="00327123">
        <w:t xml:space="preserve">la </w:t>
      </w:r>
      <w:r w:rsidR="00265853">
        <w:t xml:space="preserve">Dirección General de Política Energética y Minas (en adelante, </w:t>
      </w:r>
      <w:proofErr w:type="spellStart"/>
      <w:r w:rsidRPr="0043019B">
        <w:t>DGPEyM</w:t>
      </w:r>
      <w:proofErr w:type="spellEnd"/>
      <w:r w:rsidR="00265853">
        <w:t>)</w:t>
      </w:r>
      <w:r w:rsidRPr="0043019B">
        <w:t xml:space="preserve"> nuevos coeficientes de mermas reconocidas en </w:t>
      </w:r>
      <w:r w:rsidR="006F0AA5" w:rsidRPr="0043019B">
        <w:t>regasificación</w:t>
      </w:r>
      <w:r w:rsidRPr="0043019B">
        <w:t>, si así lo considerase necesario.</w:t>
      </w:r>
    </w:p>
    <w:p w14:paraId="7E5CFA0E" w14:textId="77777777" w:rsidR="0043019B" w:rsidRPr="0043019B" w:rsidRDefault="0043019B" w:rsidP="0043019B">
      <w:pPr>
        <w:pStyle w:val="Pa6"/>
        <w:jc w:val="both"/>
      </w:pPr>
    </w:p>
    <w:p w14:paraId="4FF1E166" w14:textId="77777777" w:rsidR="0043019B" w:rsidRPr="0043019B" w:rsidRDefault="0043019B" w:rsidP="0043019B">
      <w:pPr>
        <w:pStyle w:val="Pa6"/>
        <w:jc w:val="both"/>
      </w:pPr>
      <w:r w:rsidRPr="0043019B">
        <w:t>Por último, el Real Decreto-ley 1/2019, de 11 de enero</w:t>
      </w:r>
      <w:r w:rsidR="00B47C5C">
        <w:t>,</w:t>
      </w:r>
      <w:r w:rsidRPr="0043019B">
        <w:t xml:space="preserve"> modifica el artículo 65 de la Ley 34/1998, del Sector de Hidrocarburos,</w:t>
      </w:r>
      <w:r w:rsidR="00327123">
        <w:t xml:space="preserve"> relativo a las </w:t>
      </w:r>
      <w:r w:rsidR="00327123" w:rsidRPr="000F1C93">
        <w:t>Normas de Gestión Técnica del Sistema (en adelante, NGTS)</w:t>
      </w:r>
      <w:r w:rsidRPr="0043019B">
        <w:t xml:space="preserve"> atribuyendo a la CNMC las competencias para regular las mermas y los autoconsumos, debiendo determinarse las cantidades a retener para cada tipo de instalación. </w:t>
      </w:r>
    </w:p>
    <w:p w14:paraId="0D60D8B4" w14:textId="77777777" w:rsidR="00A936AE" w:rsidRPr="0043019B" w:rsidRDefault="00A936AE" w:rsidP="00A65300">
      <w:pPr>
        <w:rPr>
          <w:rFonts w:ascii="Arial" w:hAnsi="Arial" w:cs="Arial"/>
        </w:rPr>
      </w:pPr>
    </w:p>
    <w:p w14:paraId="57663247" w14:textId="77777777" w:rsidR="00A936AE" w:rsidRPr="0043019B" w:rsidRDefault="00A936AE" w:rsidP="00A936AE">
      <w:pPr>
        <w:widowControl w:val="0"/>
        <w:ind w:left="567" w:hanging="567"/>
        <w:jc w:val="both"/>
        <w:rPr>
          <w:rFonts w:ascii="Arial" w:hAnsi="Arial" w:cs="Arial"/>
          <w:b/>
        </w:rPr>
      </w:pPr>
      <w:r w:rsidRPr="0043019B">
        <w:rPr>
          <w:rFonts w:ascii="Arial" w:hAnsi="Arial" w:cs="Arial"/>
          <w:b/>
        </w:rPr>
        <w:t>2.3</w:t>
      </w:r>
      <w:r w:rsidR="008277A7" w:rsidRPr="0043019B">
        <w:rPr>
          <w:rFonts w:ascii="Arial" w:hAnsi="Arial" w:cs="Arial"/>
          <w:b/>
        </w:rPr>
        <w:t>.</w:t>
      </w:r>
      <w:r w:rsidRPr="0043019B">
        <w:rPr>
          <w:rFonts w:ascii="Arial" w:hAnsi="Arial" w:cs="Arial"/>
          <w:b/>
        </w:rPr>
        <w:t xml:space="preserve"> Mermas r</w:t>
      </w:r>
      <w:r w:rsidR="00363F97" w:rsidRPr="0043019B">
        <w:rPr>
          <w:rFonts w:ascii="Arial" w:hAnsi="Arial" w:cs="Arial"/>
          <w:b/>
        </w:rPr>
        <w:t>econocidas en las plantas de regasificación</w:t>
      </w:r>
    </w:p>
    <w:p w14:paraId="06A3B32D" w14:textId="77777777" w:rsidR="00A936AE" w:rsidRPr="0043019B" w:rsidRDefault="00A936AE" w:rsidP="00A65300">
      <w:pPr>
        <w:rPr>
          <w:rFonts w:ascii="Arial" w:hAnsi="Arial" w:cs="Arial"/>
        </w:rPr>
      </w:pPr>
    </w:p>
    <w:p w14:paraId="511D6F9B" w14:textId="06C042F8" w:rsidR="00A936AE" w:rsidRPr="0043019B" w:rsidRDefault="004F6436" w:rsidP="004F6436">
      <w:pPr>
        <w:jc w:val="both"/>
        <w:rPr>
          <w:rFonts w:ascii="Arial" w:hAnsi="Arial" w:cs="Arial"/>
        </w:rPr>
      </w:pPr>
      <w:r w:rsidRPr="0043019B">
        <w:rPr>
          <w:rFonts w:ascii="Arial" w:hAnsi="Arial" w:cs="Arial"/>
        </w:rPr>
        <w:t xml:space="preserve">La Orden IET/2446/2013, de 27 de diciembre, por la que se establecen los peajes y cánones asociados al acceso de terceros a las instalaciones gasistas y la retribución de las actividades reguladas, en el artículo 17, </w:t>
      </w:r>
      <w:r w:rsidR="006A135F" w:rsidRPr="0043019B">
        <w:rPr>
          <w:rFonts w:ascii="Arial" w:hAnsi="Arial" w:cs="Arial"/>
        </w:rPr>
        <w:t xml:space="preserve">establece </w:t>
      </w:r>
      <w:r w:rsidR="00E94893" w:rsidRPr="0043019B">
        <w:rPr>
          <w:rFonts w:ascii="Arial" w:hAnsi="Arial" w:cs="Arial"/>
        </w:rPr>
        <w:t xml:space="preserve">para el año 2014 </w:t>
      </w:r>
      <w:r w:rsidRPr="0043019B">
        <w:rPr>
          <w:rFonts w:ascii="Arial" w:hAnsi="Arial" w:cs="Arial"/>
        </w:rPr>
        <w:t xml:space="preserve">el coeficiente de mermas reconocidas en </w:t>
      </w:r>
      <w:r w:rsidR="006F0AA5" w:rsidRPr="0043019B">
        <w:rPr>
          <w:rFonts w:ascii="Arial" w:hAnsi="Arial" w:cs="Arial"/>
        </w:rPr>
        <w:t xml:space="preserve">regasificación </w:t>
      </w:r>
      <w:r w:rsidRPr="0043019B">
        <w:rPr>
          <w:rFonts w:ascii="Arial" w:hAnsi="Arial" w:cs="Arial"/>
        </w:rPr>
        <w:t>en el 0,</w:t>
      </w:r>
      <w:r w:rsidR="006F0AA5" w:rsidRPr="0043019B">
        <w:rPr>
          <w:rFonts w:ascii="Arial" w:hAnsi="Arial" w:cs="Arial"/>
        </w:rPr>
        <w:t>005</w:t>
      </w:r>
      <w:r w:rsidRPr="0043019B">
        <w:rPr>
          <w:rFonts w:ascii="Arial" w:hAnsi="Arial" w:cs="Arial"/>
        </w:rPr>
        <w:t>% de</w:t>
      </w:r>
      <w:r w:rsidR="006F0AA5" w:rsidRPr="0043019B">
        <w:rPr>
          <w:rFonts w:ascii="Arial" w:hAnsi="Arial" w:cs="Arial"/>
        </w:rPr>
        <w:t>l gas descargado en las planta</w:t>
      </w:r>
      <w:r w:rsidR="00E94893" w:rsidRPr="0043019B">
        <w:rPr>
          <w:rFonts w:ascii="Arial" w:hAnsi="Arial" w:cs="Arial"/>
        </w:rPr>
        <w:t>s</w:t>
      </w:r>
      <w:r w:rsidR="006F0AA5" w:rsidRPr="0043019B">
        <w:rPr>
          <w:rFonts w:ascii="Arial" w:hAnsi="Arial" w:cs="Arial"/>
        </w:rPr>
        <w:t xml:space="preserve"> de regasificación</w:t>
      </w:r>
      <w:r w:rsidRPr="0043019B">
        <w:rPr>
          <w:rFonts w:ascii="Arial" w:hAnsi="Arial" w:cs="Arial"/>
        </w:rPr>
        <w:t>.</w:t>
      </w:r>
      <w:r w:rsidR="00BB0554" w:rsidRPr="0043019B">
        <w:rPr>
          <w:rFonts w:ascii="Arial" w:hAnsi="Arial" w:cs="Arial"/>
        </w:rPr>
        <w:t xml:space="preserve"> En el año 201</w:t>
      </w:r>
      <w:r w:rsidR="00797A35">
        <w:rPr>
          <w:rFonts w:ascii="Arial" w:hAnsi="Arial" w:cs="Arial"/>
        </w:rPr>
        <w:t>9</w:t>
      </w:r>
      <w:r w:rsidR="00B47C5C">
        <w:rPr>
          <w:rFonts w:ascii="Arial" w:hAnsi="Arial" w:cs="Arial"/>
        </w:rPr>
        <w:t xml:space="preserve"> estaba</w:t>
      </w:r>
      <w:r w:rsidRPr="0043019B">
        <w:rPr>
          <w:rFonts w:ascii="Arial" w:hAnsi="Arial" w:cs="Arial"/>
        </w:rPr>
        <w:t xml:space="preserve"> vigente e</w:t>
      </w:r>
      <w:r w:rsidR="00327123">
        <w:rPr>
          <w:rFonts w:ascii="Arial" w:hAnsi="Arial" w:cs="Arial"/>
        </w:rPr>
        <w:t>ste</w:t>
      </w:r>
      <w:r w:rsidRPr="0043019B">
        <w:rPr>
          <w:rFonts w:ascii="Arial" w:hAnsi="Arial" w:cs="Arial"/>
        </w:rPr>
        <w:t xml:space="preserve"> coeficiente del </w:t>
      </w:r>
      <w:r w:rsidR="00E94893" w:rsidRPr="0043019B">
        <w:rPr>
          <w:rFonts w:ascii="Arial" w:hAnsi="Arial" w:cs="Arial"/>
        </w:rPr>
        <w:t>0,005%</w:t>
      </w:r>
      <w:r w:rsidRPr="0043019B">
        <w:rPr>
          <w:rFonts w:ascii="Arial" w:hAnsi="Arial" w:cs="Arial"/>
        </w:rPr>
        <w:t>.</w:t>
      </w:r>
    </w:p>
    <w:p w14:paraId="714F783B" w14:textId="77777777" w:rsidR="00A936AE" w:rsidRPr="0043019B" w:rsidRDefault="00A936AE" w:rsidP="00A65300">
      <w:pPr>
        <w:rPr>
          <w:rFonts w:ascii="Arial" w:hAnsi="Arial" w:cs="Arial"/>
        </w:rPr>
      </w:pPr>
    </w:p>
    <w:p w14:paraId="10C450FE" w14:textId="77777777" w:rsidR="00A936AE" w:rsidRPr="0043019B" w:rsidRDefault="00A936AE" w:rsidP="00A936AE">
      <w:pPr>
        <w:widowControl w:val="0"/>
        <w:ind w:left="426" w:hanging="426"/>
        <w:jc w:val="both"/>
        <w:rPr>
          <w:rFonts w:ascii="Arial" w:hAnsi="Arial" w:cs="Arial"/>
          <w:b/>
        </w:rPr>
      </w:pPr>
      <w:r w:rsidRPr="0043019B">
        <w:rPr>
          <w:rFonts w:ascii="Arial" w:hAnsi="Arial" w:cs="Arial"/>
          <w:b/>
        </w:rPr>
        <w:t xml:space="preserve">3. Significado y determinación del saldo de mermas en las </w:t>
      </w:r>
      <w:r w:rsidR="005E29C5" w:rsidRPr="0043019B">
        <w:rPr>
          <w:rFonts w:ascii="Arial" w:hAnsi="Arial" w:cs="Arial"/>
          <w:b/>
        </w:rPr>
        <w:t>plantas de regasificación</w:t>
      </w:r>
    </w:p>
    <w:p w14:paraId="5663E6EE" w14:textId="77777777" w:rsidR="00A936AE" w:rsidRPr="0043019B" w:rsidRDefault="00A936AE" w:rsidP="005E29C5">
      <w:pPr>
        <w:rPr>
          <w:rFonts w:ascii="Arial" w:hAnsi="Arial" w:cs="Arial"/>
        </w:rPr>
      </w:pPr>
    </w:p>
    <w:p w14:paraId="519F1D50" w14:textId="5EC46D52" w:rsidR="005E29C5" w:rsidRPr="0043019B" w:rsidRDefault="005E29C5" w:rsidP="005E29C5">
      <w:pPr>
        <w:jc w:val="both"/>
        <w:rPr>
          <w:rFonts w:ascii="Arial" w:hAnsi="Arial"/>
        </w:rPr>
      </w:pPr>
      <w:r w:rsidRPr="0043019B">
        <w:rPr>
          <w:rFonts w:ascii="Arial" w:hAnsi="Arial"/>
        </w:rPr>
        <w:t>En 201</w:t>
      </w:r>
      <w:r w:rsidR="00797A35">
        <w:rPr>
          <w:rFonts w:ascii="Arial" w:hAnsi="Arial"/>
        </w:rPr>
        <w:t>9</w:t>
      </w:r>
      <w:r w:rsidRPr="0043019B">
        <w:rPr>
          <w:rFonts w:ascii="Arial" w:hAnsi="Arial"/>
        </w:rPr>
        <w:t>, España contaba con seis plantas de regasificación operativas, propiedad de cuatro titulares distintos:</w:t>
      </w:r>
    </w:p>
    <w:p w14:paraId="603472A2" w14:textId="77777777" w:rsidR="005E29C5" w:rsidRPr="0043019B" w:rsidRDefault="005E29C5" w:rsidP="005E29C5">
      <w:pPr>
        <w:jc w:val="both"/>
        <w:rPr>
          <w:rFonts w:ascii="Arial" w:hAnsi="Arial"/>
        </w:rPr>
      </w:pPr>
    </w:p>
    <w:p w14:paraId="571E9242" w14:textId="77777777" w:rsidR="005E29C5" w:rsidRPr="0043019B" w:rsidRDefault="005E29C5" w:rsidP="005E29C5">
      <w:pPr>
        <w:numPr>
          <w:ilvl w:val="0"/>
          <w:numId w:val="34"/>
        </w:numPr>
        <w:tabs>
          <w:tab w:val="left" w:pos="567"/>
        </w:tabs>
        <w:ind w:left="1281" w:hanging="357"/>
        <w:jc w:val="both"/>
        <w:rPr>
          <w:rFonts w:ascii="Arial" w:hAnsi="Arial"/>
        </w:rPr>
      </w:pPr>
      <w:r w:rsidRPr="0043019B">
        <w:rPr>
          <w:rFonts w:ascii="Arial" w:hAnsi="Arial"/>
        </w:rPr>
        <w:t>Plantas de Regasificación de Barcelona, Cartagena y Huelva, pertenecientes a Enagás, S.A. (en adelante, Enagás).</w:t>
      </w:r>
    </w:p>
    <w:p w14:paraId="4ADDCCE9" w14:textId="77777777" w:rsidR="005E29C5" w:rsidRPr="0043019B" w:rsidRDefault="005E29C5" w:rsidP="005E29C5">
      <w:pPr>
        <w:tabs>
          <w:tab w:val="left" w:pos="567"/>
        </w:tabs>
        <w:ind w:left="1281"/>
        <w:jc w:val="both"/>
        <w:rPr>
          <w:rFonts w:ascii="Arial" w:hAnsi="Arial"/>
        </w:rPr>
      </w:pPr>
    </w:p>
    <w:p w14:paraId="3A0AE5CE" w14:textId="77777777" w:rsidR="005E29C5" w:rsidRPr="0043019B" w:rsidRDefault="005E29C5" w:rsidP="005E29C5">
      <w:pPr>
        <w:numPr>
          <w:ilvl w:val="0"/>
          <w:numId w:val="34"/>
        </w:numPr>
        <w:tabs>
          <w:tab w:val="left" w:pos="567"/>
        </w:tabs>
        <w:jc w:val="both"/>
        <w:rPr>
          <w:rFonts w:ascii="Arial" w:hAnsi="Arial"/>
        </w:rPr>
      </w:pPr>
      <w:r w:rsidRPr="0043019B">
        <w:rPr>
          <w:rFonts w:ascii="Arial" w:hAnsi="Arial"/>
        </w:rPr>
        <w:t>Planta de Regasificación de Bilbao, perteneciente a Bahía de Bizkaia Gas, S.L. (en adelante, BBG).</w:t>
      </w:r>
    </w:p>
    <w:p w14:paraId="4F1EDD89" w14:textId="77777777" w:rsidR="005E29C5" w:rsidRPr="0043019B" w:rsidRDefault="005E29C5" w:rsidP="005E29C5">
      <w:pPr>
        <w:tabs>
          <w:tab w:val="left" w:pos="567"/>
        </w:tabs>
        <w:ind w:left="1281"/>
        <w:jc w:val="both"/>
        <w:rPr>
          <w:rFonts w:ascii="Arial" w:hAnsi="Arial"/>
        </w:rPr>
      </w:pPr>
    </w:p>
    <w:p w14:paraId="6E25B878" w14:textId="77777777" w:rsidR="005E29C5" w:rsidRPr="0043019B" w:rsidRDefault="005E29C5" w:rsidP="005E29C5">
      <w:pPr>
        <w:numPr>
          <w:ilvl w:val="0"/>
          <w:numId w:val="34"/>
        </w:numPr>
        <w:tabs>
          <w:tab w:val="left" w:pos="567"/>
        </w:tabs>
        <w:jc w:val="both"/>
        <w:rPr>
          <w:rFonts w:ascii="Arial" w:hAnsi="Arial"/>
        </w:rPr>
      </w:pPr>
      <w:r w:rsidRPr="0043019B">
        <w:rPr>
          <w:rFonts w:ascii="Arial" w:hAnsi="Arial"/>
        </w:rPr>
        <w:t xml:space="preserve">Planta de Regasificación de Sagunto, perteneciente a Planta de Regasificación de Sagunto, S.A. (en adelante, </w:t>
      </w:r>
      <w:proofErr w:type="spellStart"/>
      <w:r w:rsidRPr="0043019B">
        <w:rPr>
          <w:rFonts w:ascii="Arial" w:hAnsi="Arial"/>
        </w:rPr>
        <w:t>Saggas</w:t>
      </w:r>
      <w:proofErr w:type="spellEnd"/>
      <w:r w:rsidRPr="0043019B">
        <w:rPr>
          <w:rFonts w:ascii="Arial" w:hAnsi="Arial"/>
        </w:rPr>
        <w:t>).</w:t>
      </w:r>
    </w:p>
    <w:p w14:paraId="3822BC6B" w14:textId="77777777" w:rsidR="005E29C5" w:rsidRPr="0043019B" w:rsidRDefault="005E29C5" w:rsidP="005E29C5">
      <w:pPr>
        <w:tabs>
          <w:tab w:val="left" w:pos="567"/>
        </w:tabs>
        <w:ind w:left="1281"/>
        <w:jc w:val="both"/>
        <w:rPr>
          <w:rFonts w:ascii="Arial" w:hAnsi="Arial"/>
        </w:rPr>
      </w:pPr>
    </w:p>
    <w:p w14:paraId="27A33335" w14:textId="77777777" w:rsidR="005E29C5" w:rsidRPr="0043019B" w:rsidRDefault="005E29C5" w:rsidP="005E29C5">
      <w:pPr>
        <w:numPr>
          <w:ilvl w:val="0"/>
          <w:numId w:val="34"/>
        </w:numPr>
        <w:tabs>
          <w:tab w:val="left" w:pos="567"/>
        </w:tabs>
        <w:jc w:val="both"/>
        <w:rPr>
          <w:rFonts w:ascii="Arial" w:hAnsi="Arial"/>
        </w:rPr>
      </w:pPr>
      <w:r w:rsidRPr="0043019B">
        <w:rPr>
          <w:rFonts w:ascii="Arial" w:hAnsi="Arial"/>
        </w:rPr>
        <w:t xml:space="preserve">Planta de Regasificación de </w:t>
      </w:r>
      <w:proofErr w:type="spellStart"/>
      <w:r w:rsidRPr="0043019B">
        <w:rPr>
          <w:rFonts w:ascii="Arial" w:hAnsi="Arial"/>
        </w:rPr>
        <w:t>Mugardos</w:t>
      </w:r>
      <w:proofErr w:type="spellEnd"/>
      <w:r w:rsidRPr="0043019B">
        <w:rPr>
          <w:rFonts w:ascii="Arial" w:hAnsi="Arial"/>
        </w:rPr>
        <w:t xml:space="preserve">, perteneciente a </w:t>
      </w:r>
      <w:proofErr w:type="spellStart"/>
      <w:r w:rsidRPr="0043019B">
        <w:rPr>
          <w:rFonts w:ascii="Arial" w:hAnsi="Arial"/>
        </w:rPr>
        <w:t>Regasificadora</w:t>
      </w:r>
      <w:proofErr w:type="spellEnd"/>
      <w:r w:rsidRPr="0043019B">
        <w:rPr>
          <w:rFonts w:ascii="Arial" w:hAnsi="Arial"/>
        </w:rPr>
        <w:t xml:space="preserve"> del Noroeste, S.A. (en adelante, </w:t>
      </w:r>
      <w:proofErr w:type="spellStart"/>
      <w:r w:rsidRPr="0043019B">
        <w:rPr>
          <w:rFonts w:ascii="Arial" w:hAnsi="Arial"/>
        </w:rPr>
        <w:t>Reganosa</w:t>
      </w:r>
      <w:proofErr w:type="spellEnd"/>
      <w:r w:rsidRPr="0043019B">
        <w:rPr>
          <w:rFonts w:ascii="Arial" w:hAnsi="Arial"/>
        </w:rPr>
        <w:t>).</w:t>
      </w:r>
    </w:p>
    <w:p w14:paraId="3AF04608" w14:textId="77777777" w:rsidR="005E29C5" w:rsidRPr="0043019B" w:rsidRDefault="005E29C5" w:rsidP="005E29C5">
      <w:pPr>
        <w:jc w:val="both"/>
        <w:rPr>
          <w:rFonts w:ascii="Arial" w:hAnsi="Arial"/>
        </w:rPr>
      </w:pPr>
    </w:p>
    <w:p w14:paraId="2EBB6937" w14:textId="3D31492E" w:rsidR="005E29C5" w:rsidRPr="0043019B" w:rsidRDefault="005E29C5" w:rsidP="005E29C5">
      <w:pPr>
        <w:jc w:val="both"/>
        <w:rPr>
          <w:rFonts w:ascii="Arial" w:hAnsi="Arial"/>
        </w:rPr>
      </w:pPr>
      <w:r w:rsidRPr="0043019B">
        <w:rPr>
          <w:rFonts w:ascii="Arial" w:hAnsi="Arial"/>
        </w:rPr>
        <w:t xml:space="preserve">Las plantas de regasificación son instalaciones del sistema gasista donde se descarga gas natural licuado y se </w:t>
      </w:r>
      <w:proofErr w:type="spellStart"/>
      <w:r w:rsidRPr="0043019B">
        <w:rPr>
          <w:rFonts w:ascii="Arial" w:hAnsi="Arial"/>
        </w:rPr>
        <w:t>re</w:t>
      </w:r>
      <w:r w:rsidR="00BA4F5E">
        <w:rPr>
          <w:rFonts w:ascii="Arial" w:hAnsi="Arial"/>
        </w:rPr>
        <w:t>gasifica</w:t>
      </w:r>
      <w:proofErr w:type="spellEnd"/>
      <w:r w:rsidR="00BA4F5E">
        <w:rPr>
          <w:rFonts w:ascii="Arial" w:hAnsi="Arial"/>
        </w:rPr>
        <w:t xml:space="preserve"> o carga en cisternas. C</w:t>
      </w:r>
      <w:r w:rsidRPr="0043019B">
        <w:rPr>
          <w:rFonts w:ascii="Arial" w:hAnsi="Arial"/>
        </w:rPr>
        <w:t xml:space="preserve">omo el resto de instalaciones del sistema, </w:t>
      </w:r>
      <w:r w:rsidR="00BA4F5E">
        <w:rPr>
          <w:rFonts w:ascii="Arial" w:hAnsi="Arial"/>
        </w:rPr>
        <w:t xml:space="preserve">las plantas </w:t>
      </w:r>
      <w:r w:rsidRPr="0043019B">
        <w:rPr>
          <w:rFonts w:ascii="Arial" w:hAnsi="Arial"/>
        </w:rPr>
        <w:t>pueden presentar mermas por pérdidas físicas de gas y diferencias de medición. Asimismo, dado su diseño y características técnicas, las plantas de regasificación, por un lado, sirven de almacenamiento de gas en forma de GNL, y por otro, consumen gas para su funcionamiento, denominándose al mismo</w:t>
      </w:r>
      <w:r w:rsidR="005D51BC">
        <w:rPr>
          <w:rFonts w:ascii="Arial" w:hAnsi="Arial"/>
        </w:rPr>
        <w:t xml:space="preserve"> “</w:t>
      </w:r>
      <w:r w:rsidRPr="0043019B">
        <w:rPr>
          <w:rFonts w:ascii="Arial" w:hAnsi="Arial"/>
        </w:rPr>
        <w:t>autoconsumos</w:t>
      </w:r>
      <w:r w:rsidR="005D51BC">
        <w:rPr>
          <w:rFonts w:ascii="Arial" w:hAnsi="Arial"/>
        </w:rPr>
        <w:t>”</w:t>
      </w:r>
      <w:r w:rsidRPr="0043019B">
        <w:rPr>
          <w:rFonts w:ascii="Arial" w:hAnsi="Arial"/>
        </w:rPr>
        <w:t>.</w:t>
      </w:r>
    </w:p>
    <w:p w14:paraId="66C02152" w14:textId="77777777" w:rsidR="00980529" w:rsidRPr="0043019B" w:rsidRDefault="00980529" w:rsidP="005E29C5">
      <w:pPr>
        <w:jc w:val="both"/>
        <w:rPr>
          <w:rFonts w:ascii="Arial" w:hAnsi="Arial"/>
        </w:rPr>
      </w:pPr>
    </w:p>
    <w:p w14:paraId="73CB256C" w14:textId="77777777" w:rsidR="005E29C5" w:rsidRPr="0043019B" w:rsidRDefault="005E29C5" w:rsidP="005E29C5">
      <w:pPr>
        <w:jc w:val="both"/>
        <w:rPr>
          <w:rFonts w:ascii="Arial" w:hAnsi="Arial"/>
        </w:rPr>
      </w:pPr>
      <w:r w:rsidRPr="0043019B">
        <w:rPr>
          <w:rFonts w:ascii="Arial" w:hAnsi="Arial"/>
        </w:rPr>
        <w:t>La determinación de las mermas por pérdidas y diferencias de medición que se producen en las plantas de regasificación responde a un balance físico del gas que circula por las mismas. De esta forma, se cumple la siguiente identidad:</w:t>
      </w:r>
    </w:p>
    <w:p w14:paraId="536789E2" w14:textId="77777777" w:rsidR="002A79D2" w:rsidRPr="0043019B" w:rsidRDefault="002A79D2" w:rsidP="005E29C5">
      <w:pPr>
        <w:jc w:val="both"/>
        <w:rPr>
          <w:rFonts w:ascii="Arial" w:hAnsi="Arial"/>
        </w:rPr>
      </w:pPr>
    </w:p>
    <w:p w14:paraId="46218170" w14:textId="77777777" w:rsidR="005E29C5" w:rsidRPr="0043019B" w:rsidRDefault="005E29C5" w:rsidP="005E29C5">
      <w:pPr>
        <w:jc w:val="center"/>
        <w:rPr>
          <w:rFonts w:ascii="Arial" w:hAnsi="Arial"/>
        </w:rPr>
      </w:pPr>
      <w:r w:rsidRPr="0043019B">
        <w:rPr>
          <w:rFonts w:ascii="Arial" w:hAnsi="Arial"/>
        </w:rPr>
        <w:t>Entradas = Salidas + (Existencias de GNL finales – Existencias de GNL iniciales) + Autoconsumos + Mermas</w:t>
      </w:r>
      <w:r w:rsidR="00980529" w:rsidRPr="0043019B">
        <w:rPr>
          <w:rFonts w:ascii="Arial" w:hAnsi="Arial"/>
        </w:rPr>
        <w:t xml:space="preserve"> </w:t>
      </w:r>
    </w:p>
    <w:p w14:paraId="0E6F7377" w14:textId="77777777" w:rsidR="005B3C48" w:rsidRDefault="005B3C48" w:rsidP="005E29C5">
      <w:pPr>
        <w:jc w:val="both"/>
        <w:rPr>
          <w:rFonts w:ascii="Arial" w:hAnsi="Arial"/>
        </w:rPr>
      </w:pPr>
    </w:p>
    <w:p w14:paraId="64AD6489" w14:textId="77777777" w:rsidR="005E29C5" w:rsidRPr="0043019B" w:rsidRDefault="005E29C5" w:rsidP="005E29C5">
      <w:pPr>
        <w:jc w:val="both"/>
        <w:rPr>
          <w:rFonts w:ascii="Arial" w:hAnsi="Arial"/>
        </w:rPr>
      </w:pPr>
      <w:r w:rsidRPr="0043019B">
        <w:rPr>
          <w:rFonts w:ascii="Arial" w:hAnsi="Arial"/>
        </w:rPr>
        <w:t>donde:</w:t>
      </w:r>
    </w:p>
    <w:p w14:paraId="6AF6C079" w14:textId="77777777" w:rsidR="00980529" w:rsidRPr="0043019B" w:rsidRDefault="00980529" w:rsidP="005E29C5">
      <w:pPr>
        <w:jc w:val="both"/>
        <w:rPr>
          <w:rFonts w:ascii="Arial" w:hAnsi="Arial"/>
        </w:rPr>
      </w:pPr>
    </w:p>
    <w:p w14:paraId="1742C098" w14:textId="77777777" w:rsidR="005E29C5" w:rsidRPr="0043019B" w:rsidRDefault="005E29C5" w:rsidP="005E29C5">
      <w:pPr>
        <w:numPr>
          <w:ilvl w:val="0"/>
          <w:numId w:val="35"/>
        </w:numPr>
        <w:tabs>
          <w:tab w:val="left" w:pos="426"/>
        </w:tabs>
        <w:ind w:left="425" w:hanging="357"/>
        <w:jc w:val="both"/>
        <w:rPr>
          <w:rFonts w:ascii="Arial" w:hAnsi="Arial"/>
        </w:rPr>
      </w:pPr>
      <w:r w:rsidRPr="0043019B">
        <w:rPr>
          <w:rFonts w:ascii="Arial" w:hAnsi="Arial"/>
        </w:rPr>
        <w:t>Las entradas vienen dadas por la descarga de GNL en la planta.</w:t>
      </w:r>
    </w:p>
    <w:p w14:paraId="76E34A94" w14:textId="77777777" w:rsidR="005E29C5" w:rsidRPr="0043019B" w:rsidRDefault="005E29C5" w:rsidP="005E29C5">
      <w:pPr>
        <w:numPr>
          <w:ilvl w:val="0"/>
          <w:numId w:val="35"/>
        </w:numPr>
        <w:tabs>
          <w:tab w:val="left" w:pos="426"/>
        </w:tabs>
        <w:ind w:left="425" w:hanging="357"/>
        <w:jc w:val="both"/>
        <w:rPr>
          <w:rFonts w:ascii="Arial" w:hAnsi="Arial"/>
        </w:rPr>
      </w:pPr>
      <w:r w:rsidRPr="0043019B">
        <w:rPr>
          <w:rFonts w:ascii="Arial" w:hAnsi="Arial"/>
        </w:rPr>
        <w:t xml:space="preserve">Las salidas representan el gas </w:t>
      </w:r>
      <w:proofErr w:type="spellStart"/>
      <w:r w:rsidRPr="0043019B">
        <w:rPr>
          <w:rFonts w:ascii="Arial" w:hAnsi="Arial"/>
        </w:rPr>
        <w:t>regasificado</w:t>
      </w:r>
      <w:proofErr w:type="spellEnd"/>
      <w:r w:rsidRPr="0043019B">
        <w:rPr>
          <w:rFonts w:ascii="Arial" w:hAnsi="Arial"/>
        </w:rPr>
        <w:t xml:space="preserve"> emitido a la red de transporte y el GNL cargado en cisternas o en buques</w:t>
      </w:r>
      <w:r w:rsidR="0017456D">
        <w:rPr>
          <w:rFonts w:ascii="Arial" w:hAnsi="Arial"/>
        </w:rPr>
        <w:t xml:space="preserve">, así como el empleado para la </w:t>
      </w:r>
      <w:r w:rsidR="0017456D" w:rsidRPr="000F1C93">
        <w:rPr>
          <w:rFonts w:ascii="Arial" w:hAnsi="Arial"/>
        </w:rPr>
        <w:t>puesta en gas y enfriamiento de buques</w:t>
      </w:r>
      <w:r w:rsidRPr="0043019B">
        <w:rPr>
          <w:rFonts w:ascii="Arial" w:hAnsi="Arial"/>
        </w:rPr>
        <w:t>.</w:t>
      </w:r>
    </w:p>
    <w:p w14:paraId="08B0F4EC" w14:textId="77777777" w:rsidR="005E29C5" w:rsidRPr="0043019B" w:rsidRDefault="005E29C5" w:rsidP="005E29C5">
      <w:pPr>
        <w:numPr>
          <w:ilvl w:val="0"/>
          <w:numId w:val="35"/>
        </w:numPr>
        <w:tabs>
          <w:tab w:val="left" w:pos="426"/>
        </w:tabs>
        <w:ind w:left="425" w:hanging="357"/>
        <w:jc w:val="both"/>
        <w:rPr>
          <w:rFonts w:ascii="Arial" w:hAnsi="Arial"/>
        </w:rPr>
      </w:pPr>
      <w:r w:rsidRPr="0043019B">
        <w:rPr>
          <w:rFonts w:ascii="Arial" w:hAnsi="Arial"/>
        </w:rPr>
        <w:t>El término “Existencias de GNL finales – Existencias de GNL iniciales” indica la variación de existencias de GNL almacenado en la planta durante el año.</w:t>
      </w:r>
    </w:p>
    <w:p w14:paraId="07B0BD9B" w14:textId="77777777" w:rsidR="005E29C5" w:rsidRPr="0043019B" w:rsidRDefault="005E29C5" w:rsidP="005E29C5">
      <w:pPr>
        <w:numPr>
          <w:ilvl w:val="0"/>
          <w:numId w:val="35"/>
        </w:numPr>
        <w:tabs>
          <w:tab w:val="left" w:pos="426"/>
        </w:tabs>
        <w:ind w:left="425" w:hanging="357"/>
        <w:jc w:val="both"/>
        <w:rPr>
          <w:rFonts w:ascii="Arial" w:hAnsi="Arial"/>
        </w:rPr>
      </w:pPr>
      <w:r w:rsidRPr="0043019B">
        <w:rPr>
          <w:rFonts w:ascii="Arial" w:hAnsi="Arial"/>
        </w:rPr>
        <w:t>Los autoconsumos son el gas consumido en la planta para su funcionamiento.</w:t>
      </w:r>
    </w:p>
    <w:p w14:paraId="22669BCF" w14:textId="77777777" w:rsidR="005E29C5" w:rsidRPr="0043019B" w:rsidRDefault="005E29C5" w:rsidP="005E29C5">
      <w:pPr>
        <w:numPr>
          <w:ilvl w:val="0"/>
          <w:numId w:val="35"/>
        </w:numPr>
        <w:tabs>
          <w:tab w:val="left" w:pos="426"/>
        </w:tabs>
        <w:ind w:left="425" w:hanging="357"/>
        <w:jc w:val="both"/>
        <w:rPr>
          <w:rFonts w:ascii="Arial" w:hAnsi="Arial"/>
        </w:rPr>
      </w:pPr>
      <w:r w:rsidRPr="0043019B">
        <w:rPr>
          <w:rFonts w:ascii="Arial" w:hAnsi="Arial"/>
        </w:rPr>
        <w:t xml:space="preserve">Las mermas son las pérdidas y diferencias de medición de gas </w:t>
      </w:r>
      <w:r w:rsidR="00980529" w:rsidRPr="0043019B">
        <w:rPr>
          <w:rFonts w:ascii="Arial" w:hAnsi="Arial"/>
        </w:rPr>
        <w:t xml:space="preserve">reales </w:t>
      </w:r>
      <w:r w:rsidRPr="0043019B">
        <w:rPr>
          <w:rFonts w:ascii="Arial" w:hAnsi="Arial"/>
        </w:rPr>
        <w:t>que se producen en la instalación.</w:t>
      </w:r>
    </w:p>
    <w:p w14:paraId="55740607" w14:textId="77777777" w:rsidR="00980529" w:rsidRPr="0043019B" w:rsidRDefault="00980529" w:rsidP="005E29C5">
      <w:pPr>
        <w:jc w:val="both"/>
        <w:rPr>
          <w:rFonts w:ascii="Arial" w:hAnsi="Arial"/>
        </w:rPr>
      </w:pPr>
    </w:p>
    <w:p w14:paraId="5F180C5D" w14:textId="77777777" w:rsidR="005E29C5" w:rsidRPr="0043019B" w:rsidRDefault="005E29C5" w:rsidP="005E29C5">
      <w:pPr>
        <w:jc w:val="both"/>
        <w:rPr>
          <w:rFonts w:ascii="Arial" w:hAnsi="Arial"/>
        </w:rPr>
      </w:pPr>
      <w:r w:rsidRPr="0043019B">
        <w:rPr>
          <w:rFonts w:ascii="Arial" w:hAnsi="Arial"/>
        </w:rPr>
        <w:t>De esta forma, las mermas reales en regasificación se determinan como:</w:t>
      </w:r>
    </w:p>
    <w:p w14:paraId="389F331D" w14:textId="77777777" w:rsidR="00980529" w:rsidRPr="0043019B" w:rsidRDefault="00980529" w:rsidP="005E29C5">
      <w:pPr>
        <w:jc w:val="both"/>
        <w:rPr>
          <w:rFonts w:ascii="Arial" w:hAnsi="Arial"/>
        </w:rPr>
      </w:pPr>
    </w:p>
    <w:p w14:paraId="4E78A585" w14:textId="77777777" w:rsidR="005E29C5" w:rsidRPr="0043019B" w:rsidRDefault="005E29C5" w:rsidP="005E29C5">
      <w:pPr>
        <w:pBdr>
          <w:top w:val="single" w:sz="4" w:space="1" w:color="auto"/>
          <w:left w:val="single" w:sz="4" w:space="4" w:color="auto"/>
          <w:bottom w:val="single" w:sz="4" w:space="1" w:color="auto"/>
          <w:right w:val="single" w:sz="4" w:space="4" w:color="auto"/>
        </w:pBdr>
        <w:jc w:val="center"/>
        <w:rPr>
          <w:rFonts w:ascii="Arial" w:hAnsi="Arial"/>
          <w:b/>
        </w:rPr>
      </w:pPr>
      <w:r w:rsidRPr="0043019B">
        <w:rPr>
          <w:rFonts w:ascii="Arial" w:hAnsi="Arial"/>
          <w:b/>
        </w:rPr>
        <w:t>Mermas reales = Entradas - Salidas - (Existencias de GNL finales - Existencias de GNL iniciales) - Autoconsumos</w:t>
      </w:r>
    </w:p>
    <w:p w14:paraId="0572ABD2" w14:textId="77777777" w:rsidR="00980529" w:rsidRPr="0043019B" w:rsidRDefault="00980529" w:rsidP="005E29C5">
      <w:pPr>
        <w:jc w:val="both"/>
        <w:rPr>
          <w:rFonts w:ascii="Arial" w:hAnsi="Arial"/>
        </w:rPr>
      </w:pPr>
    </w:p>
    <w:p w14:paraId="1B365C3A" w14:textId="77777777" w:rsidR="005E29C5" w:rsidRPr="0043019B" w:rsidRDefault="005E29C5" w:rsidP="005E29C5">
      <w:pPr>
        <w:jc w:val="both"/>
        <w:rPr>
          <w:rFonts w:ascii="Arial" w:hAnsi="Arial"/>
        </w:rPr>
      </w:pPr>
      <w:r w:rsidRPr="0043019B">
        <w:rPr>
          <w:rFonts w:ascii="Arial" w:hAnsi="Arial"/>
        </w:rPr>
        <w:t>El saldo de mermas de regasificación, definido en el artículo 2 de la Orden ITC/1890/201</w:t>
      </w:r>
      <w:r w:rsidR="00265853">
        <w:rPr>
          <w:rFonts w:ascii="Arial" w:hAnsi="Arial"/>
        </w:rPr>
        <w:t>0</w:t>
      </w:r>
      <w:r w:rsidRPr="0043019B">
        <w:rPr>
          <w:rFonts w:ascii="Arial" w:hAnsi="Arial"/>
        </w:rPr>
        <w:t>, modificado por la Orden IET/2446/2013</w:t>
      </w:r>
      <w:r w:rsidR="001245D9" w:rsidRPr="0043019B">
        <w:rPr>
          <w:rFonts w:ascii="Arial" w:hAnsi="Arial"/>
        </w:rPr>
        <w:t xml:space="preserve"> y la Orden IET/2736/2015</w:t>
      </w:r>
      <w:r w:rsidRPr="0043019B">
        <w:rPr>
          <w:rFonts w:ascii="Arial" w:hAnsi="Arial"/>
        </w:rPr>
        <w:t>, se determina como la diferencia entre las mermas reales y las mermas reconocidas</w:t>
      </w:r>
      <w:r w:rsidR="001245D9" w:rsidRPr="0043019B">
        <w:rPr>
          <w:rFonts w:ascii="Arial" w:hAnsi="Arial"/>
        </w:rPr>
        <w:t>; es decir, el</w:t>
      </w:r>
      <w:r w:rsidRPr="0043019B">
        <w:rPr>
          <w:rFonts w:ascii="Arial" w:hAnsi="Arial"/>
        </w:rPr>
        <w:t xml:space="preserve"> resultado de la fórmula anterior debe compararse con las mermas reconocidas en las instalaciones, que los operadores retienen físicamente a los comercializadores cuando éstos descargan GNL en las plantas. Así, se pueden dar dos circunstancias:</w:t>
      </w:r>
    </w:p>
    <w:p w14:paraId="0F7CD4BF" w14:textId="77777777" w:rsidR="00980529" w:rsidRPr="0043019B" w:rsidRDefault="00980529" w:rsidP="005E29C5">
      <w:pPr>
        <w:jc w:val="both"/>
        <w:rPr>
          <w:rFonts w:ascii="Arial" w:hAnsi="Arial"/>
        </w:rPr>
      </w:pPr>
    </w:p>
    <w:p w14:paraId="42FA554A" w14:textId="26D1407B" w:rsidR="005E29C5" w:rsidRPr="0043019B" w:rsidRDefault="005E29C5" w:rsidP="005E29C5">
      <w:pPr>
        <w:numPr>
          <w:ilvl w:val="3"/>
          <w:numId w:val="36"/>
        </w:numPr>
        <w:tabs>
          <w:tab w:val="left" w:pos="284"/>
        </w:tabs>
        <w:ind w:left="284" w:hanging="284"/>
        <w:jc w:val="both"/>
        <w:rPr>
          <w:rFonts w:ascii="Arial" w:hAnsi="Arial"/>
        </w:rPr>
      </w:pPr>
      <w:r w:rsidRPr="0043019B">
        <w:rPr>
          <w:rFonts w:ascii="Arial" w:hAnsi="Arial"/>
        </w:rPr>
        <w:t>Las mermas reconocidas son superiores a las mermas reales de la planta. En este caso, el saldo de mermas en regasificación es negativo</w:t>
      </w:r>
      <w:r w:rsidR="001245D9" w:rsidRPr="0043019B">
        <w:rPr>
          <w:rFonts w:ascii="Arial" w:hAnsi="Arial"/>
        </w:rPr>
        <w:t xml:space="preserve"> y</w:t>
      </w:r>
      <w:r w:rsidR="0017456D">
        <w:rPr>
          <w:rFonts w:ascii="Arial" w:hAnsi="Arial"/>
        </w:rPr>
        <w:t>,</w:t>
      </w:r>
      <w:r w:rsidR="001245D9" w:rsidRPr="0043019B">
        <w:rPr>
          <w:rFonts w:ascii="Arial" w:hAnsi="Arial"/>
        </w:rPr>
        <w:t xml:space="preserve"> por tanto, </w:t>
      </w:r>
      <w:r w:rsidRPr="0043019B">
        <w:rPr>
          <w:rFonts w:ascii="Arial" w:hAnsi="Arial"/>
        </w:rPr>
        <w:t xml:space="preserve">las mermas reales son cubiertas por el gas retenido a los comercializadores, quedando además gas excedente. Este excedente, según la Orden IET/2736/2015, de 17 de diciembre, permanecerá temporalmente bajo la titularidad del GTS como gas acumulado </w:t>
      </w:r>
      <w:r w:rsidR="001245D9" w:rsidRPr="0043019B">
        <w:rPr>
          <w:rFonts w:ascii="Arial" w:hAnsi="Arial"/>
        </w:rPr>
        <w:t xml:space="preserve">como saldo </w:t>
      </w:r>
      <w:r w:rsidRPr="0043019B">
        <w:rPr>
          <w:rFonts w:ascii="Arial" w:hAnsi="Arial"/>
        </w:rPr>
        <w:t xml:space="preserve">de mermas de la planta de regasificación, para ser </w:t>
      </w:r>
      <w:r w:rsidR="001245D9" w:rsidRPr="0043019B">
        <w:rPr>
          <w:rFonts w:ascii="Arial" w:hAnsi="Arial"/>
        </w:rPr>
        <w:t xml:space="preserve">parcialmente </w:t>
      </w:r>
      <w:r w:rsidRPr="0043019B">
        <w:rPr>
          <w:rFonts w:ascii="Arial" w:hAnsi="Arial"/>
        </w:rPr>
        <w:t xml:space="preserve">distribuido </w:t>
      </w:r>
      <w:r w:rsidR="001245D9" w:rsidRPr="0043019B">
        <w:rPr>
          <w:rFonts w:ascii="Arial" w:hAnsi="Arial"/>
        </w:rPr>
        <w:t xml:space="preserve">entre los usuarios </w:t>
      </w:r>
      <w:r w:rsidR="0017456D">
        <w:rPr>
          <w:rFonts w:ascii="Arial" w:hAnsi="Arial"/>
        </w:rPr>
        <w:t>con posterioridad,</w:t>
      </w:r>
      <w:r w:rsidRPr="0043019B">
        <w:rPr>
          <w:rFonts w:ascii="Arial" w:hAnsi="Arial"/>
        </w:rPr>
        <w:t xml:space="preserve"> una vez al año.</w:t>
      </w:r>
    </w:p>
    <w:p w14:paraId="18A6D0AD" w14:textId="77777777" w:rsidR="005E29C5" w:rsidRPr="0043019B" w:rsidRDefault="005E29C5" w:rsidP="005E29C5">
      <w:pPr>
        <w:tabs>
          <w:tab w:val="left" w:pos="284"/>
        </w:tabs>
        <w:ind w:left="284"/>
        <w:jc w:val="both"/>
        <w:rPr>
          <w:rFonts w:ascii="Arial" w:hAnsi="Arial"/>
        </w:rPr>
      </w:pPr>
    </w:p>
    <w:p w14:paraId="52A039B0" w14:textId="77777777" w:rsidR="005E29C5" w:rsidRPr="0043019B" w:rsidRDefault="005E29C5" w:rsidP="005E29C5">
      <w:pPr>
        <w:numPr>
          <w:ilvl w:val="3"/>
          <w:numId w:val="36"/>
        </w:numPr>
        <w:tabs>
          <w:tab w:val="left" w:pos="284"/>
        </w:tabs>
        <w:ind w:left="284" w:hanging="284"/>
        <w:jc w:val="both"/>
        <w:rPr>
          <w:rFonts w:ascii="Arial" w:hAnsi="Arial"/>
        </w:rPr>
      </w:pPr>
      <w:r w:rsidRPr="0043019B">
        <w:rPr>
          <w:rFonts w:ascii="Arial" w:hAnsi="Arial"/>
        </w:rPr>
        <w:t>Las mermas reconocidas son inferiores a las mermas reales de la planta. Cuando esto ocurre, el saldo de mermas es positivo</w:t>
      </w:r>
      <w:r w:rsidR="001245D9" w:rsidRPr="0043019B">
        <w:rPr>
          <w:rFonts w:ascii="Arial" w:hAnsi="Arial"/>
        </w:rPr>
        <w:t>; e</w:t>
      </w:r>
      <w:r w:rsidRPr="0043019B">
        <w:rPr>
          <w:rFonts w:ascii="Arial" w:hAnsi="Arial"/>
        </w:rPr>
        <w:t xml:space="preserve">sto significaría que el gas retenido a los comercializadores en concepto de mermas es insuficiente para cubrir las pérdidas de gas y diferencias de medición que se producen en la planta. La diferencia se cubriría temporalmente mediante una disminución del </w:t>
      </w:r>
      <w:r w:rsidR="001245D9" w:rsidRPr="0043019B">
        <w:rPr>
          <w:rFonts w:ascii="Arial" w:hAnsi="Arial"/>
        </w:rPr>
        <w:t xml:space="preserve">gas </w:t>
      </w:r>
      <w:r w:rsidRPr="0043019B">
        <w:rPr>
          <w:rFonts w:ascii="Arial" w:hAnsi="Arial"/>
        </w:rPr>
        <w:t xml:space="preserve">acumulado como saldo de mermas de la planta de regasificación. </w:t>
      </w:r>
    </w:p>
    <w:p w14:paraId="67D201A8" w14:textId="77777777" w:rsidR="00B5593D" w:rsidRPr="0043019B" w:rsidRDefault="00B5593D" w:rsidP="00A65300">
      <w:pPr>
        <w:rPr>
          <w:rFonts w:ascii="Arial" w:hAnsi="Arial" w:cs="Arial"/>
        </w:rPr>
      </w:pPr>
    </w:p>
    <w:p w14:paraId="7E96795F" w14:textId="5224BEB9" w:rsidR="00A936AE" w:rsidRPr="000F1C93" w:rsidRDefault="00A936AE" w:rsidP="001245D9">
      <w:pPr>
        <w:widowControl w:val="0"/>
        <w:ind w:left="284" w:hanging="284"/>
        <w:jc w:val="both"/>
        <w:rPr>
          <w:rFonts w:ascii="Arial" w:hAnsi="Arial" w:cs="Arial"/>
          <w:b/>
        </w:rPr>
      </w:pPr>
      <w:r w:rsidRPr="0043019B">
        <w:rPr>
          <w:rFonts w:ascii="Arial" w:hAnsi="Arial" w:cs="Arial"/>
          <w:b/>
        </w:rPr>
        <w:t xml:space="preserve">4. Valoración </w:t>
      </w:r>
      <w:r w:rsidRPr="000F1C93">
        <w:rPr>
          <w:rFonts w:ascii="Arial" w:hAnsi="Arial" w:cs="Arial"/>
          <w:b/>
        </w:rPr>
        <w:t xml:space="preserve">del saldo de mermas </w:t>
      </w:r>
      <w:r w:rsidR="001245D9" w:rsidRPr="000F1C93">
        <w:rPr>
          <w:rFonts w:ascii="Arial" w:hAnsi="Arial" w:cs="Arial"/>
          <w:b/>
        </w:rPr>
        <w:t>en plantas de regasificación</w:t>
      </w:r>
      <w:r w:rsidRPr="000F1C93">
        <w:rPr>
          <w:rFonts w:ascii="Arial" w:hAnsi="Arial" w:cs="Arial"/>
          <w:b/>
        </w:rPr>
        <w:t xml:space="preserve"> en el año 201</w:t>
      </w:r>
      <w:r w:rsidR="00797A35">
        <w:rPr>
          <w:rFonts w:ascii="Arial" w:hAnsi="Arial" w:cs="Arial"/>
          <w:b/>
        </w:rPr>
        <w:t>9</w:t>
      </w:r>
    </w:p>
    <w:p w14:paraId="6DBB2E91" w14:textId="77777777" w:rsidR="00A936AE" w:rsidRPr="000F1C93" w:rsidRDefault="00A936AE" w:rsidP="00A65300">
      <w:pPr>
        <w:rPr>
          <w:rFonts w:ascii="Arial" w:hAnsi="Arial" w:cs="Arial"/>
        </w:rPr>
      </w:pPr>
    </w:p>
    <w:p w14:paraId="40F650A9" w14:textId="77777777" w:rsidR="00393D0E" w:rsidRPr="000F1C93" w:rsidRDefault="001245D9" w:rsidP="00393D0E">
      <w:pPr>
        <w:jc w:val="both"/>
        <w:rPr>
          <w:rFonts w:ascii="Arial" w:hAnsi="Arial" w:cs="Arial"/>
        </w:rPr>
      </w:pPr>
      <w:r w:rsidRPr="000F1C93">
        <w:rPr>
          <w:rFonts w:ascii="Arial" w:hAnsi="Arial" w:cs="Arial"/>
        </w:rPr>
        <w:t>Conforme al artículo 2 de la Orden ITC/1890/2010</w:t>
      </w:r>
      <w:r w:rsidR="00393D0E" w:rsidRPr="000F1C93">
        <w:rPr>
          <w:rFonts w:ascii="Arial" w:hAnsi="Arial" w:cs="Arial"/>
        </w:rPr>
        <w:t>, modificado por la</w:t>
      </w:r>
      <w:r w:rsidRPr="000F1C93">
        <w:rPr>
          <w:rFonts w:ascii="Arial" w:hAnsi="Arial" w:cs="Arial"/>
        </w:rPr>
        <w:t>s</w:t>
      </w:r>
      <w:r w:rsidR="00393D0E" w:rsidRPr="000F1C93">
        <w:rPr>
          <w:rFonts w:ascii="Arial" w:hAnsi="Arial" w:cs="Arial"/>
        </w:rPr>
        <w:t xml:space="preserve"> Orden</w:t>
      </w:r>
      <w:r w:rsidRPr="000F1C93">
        <w:rPr>
          <w:rFonts w:ascii="Arial" w:hAnsi="Arial" w:cs="Arial"/>
        </w:rPr>
        <w:t>es</w:t>
      </w:r>
      <w:r w:rsidR="00393D0E" w:rsidRPr="000F1C93">
        <w:rPr>
          <w:rFonts w:ascii="Arial" w:hAnsi="Arial" w:cs="Arial"/>
        </w:rPr>
        <w:t xml:space="preserve"> IET/2446/2013</w:t>
      </w:r>
      <w:r w:rsidRPr="000F1C93">
        <w:rPr>
          <w:rFonts w:ascii="Arial" w:hAnsi="Arial" w:cs="Arial"/>
        </w:rPr>
        <w:t xml:space="preserve"> e IET/2736/2015</w:t>
      </w:r>
      <w:r w:rsidR="00393D0E" w:rsidRPr="000F1C93">
        <w:rPr>
          <w:rFonts w:ascii="Arial" w:hAnsi="Arial" w:cs="Arial"/>
        </w:rPr>
        <w:t>, anualmente la CNMC debe valorar económicamente el sal</w:t>
      </w:r>
      <w:r w:rsidR="007E54AD" w:rsidRPr="000F1C93">
        <w:rPr>
          <w:rFonts w:ascii="Arial" w:hAnsi="Arial" w:cs="Arial"/>
        </w:rPr>
        <w:t>do de mermas de cada de planta de GNL</w:t>
      </w:r>
      <w:r w:rsidR="00393D0E" w:rsidRPr="000F1C93">
        <w:rPr>
          <w:rFonts w:ascii="Arial" w:hAnsi="Arial" w:cs="Arial"/>
        </w:rPr>
        <w:t xml:space="preserve"> del año anterior, </w:t>
      </w:r>
      <w:r w:rsidR="007E54AD" w:rsidRPr="000F1C93">
        <w:rPr>
          <w:rFonts w:ascii="Arial" w:hAnsi="Arial" w:cs="Arial"/>
        </w:rPr>
        <w:t>una vez que el GTS haya publicado</w:t>
      </w:r>
      <w:r w:rsidR="0017456D">
        <w:rPr>
          <w:rFonts w:ascii="Arial" w:hAnsi="Arial" w:cs="Arial"/>
        </w:rPr>
        <w:t>,</w:t>
      </w:r>
      <w:r w:rsidR="007E54AD" w:rsidRPr="000F1C93">
        <w:rPr>
          <w:rFonts w:ascii="Arial" w:hAnsi="Arial" w:cs="Arial"/>
        </w:rPr>
        <w:t xml:space="preserve"> antes del 1 de junio</w:t>
      </w:r>
      <w:r w:rsidR="0017456D">
        <w:rPr>
          <w:rFonts w:ascii="Arial" w:hAnsi="Arial" w:cs="Arial"/>
        </w:rPr>
        <w:t>,</w:t>
      </w:r>
      <w:r w:rsidR="007E54AD" w:rsidRPr="000F1C93">
        <w:rPr>
          <w:rFonts w:ascii="Arial" w:hAnsi="Arial" w:cs="Arial"/>
        </w:rPr>
        <w:t xml:space="preserve"> en su página web los saldos de mermas anuales y lo</w:t>
      </w:r>
      <w:r w:rsidR="0017456D">
        <w:rPr>
          <w:rFonts w:ascii="Arial" w:hAnsi="Arial" w:cs="Arial"/>
        </w:rPr>
        <w:t>s</w:t>
      </w:r>
      <w:r w:rsidR="007E54AD" w:rsidRPr="000F1C93">
        <w:rPr>
          <w:rFonts w:ascii="Arial" w:hAnsi="Arial" w:cs="Arial"/>
        </w:rPr>
        <w:t xml:space="preserve"> haya comunicado a los usuarios, a los titulares de las plantas y a la CNMC. Para ello se aplicará el valor del precio medio del gas de operación del año al que corresponden los saldos de mermas, que, igualmente, el GTS publicará en su página web.</w:t>
      </w:r>
    </w:p>
    <w:p w14:paraId="44813118" w14:textId="77777777" w:rsidR="00393D0E" w:rsidRPr="000F1C93" w:rsidRDefault="00393D0E" w:rsidP="00A65300">
      <w:pPr>
        <w:rPr>
          <w:rFonts w:ascii="Arial" w:hAnsi="Arial" w:cs="Arial"/>
        </w:rPr>
      </w:pPr>
    </w:p>
    <w:p w14:paraId="2B454D6C" w14:textId="6357E984" w:rsidR="00A936AE" w:rsidRPr="000F1C93" w:rsidRDefault="00A936AE" w:rsidP="00A936AE">
      <w:pPr>
        <w:widowControl w:val="0"/>
        <w:ind w:left="567" w:hanging="567"/>
        <w:jc w:val="both"/>
        <w:rPr>
          <w:rFonts w:ascii="Arial" w:hAnsi="Arial" w:cs="Arial"/>
          <w:b/>
        </w:rPr>
      </w:pPr>
      <w:r w:rsidRPr="000F1C93">
        <w:rPr>
          <w:rFonts w:ascii="Arial" w:hAnsi="Arial" w:cs="Arial"/>
          <w:b/>
        </w:rPr>
        <w:t xml:space="preserve">4.1. Información remitida por el GTS sobre el saldo de mermas </w:t>
      </w:r>
      <w:r w:rsidR="007E54AD" w:rsidRPr="000F1C93">
        <w:rPr>
          <w:rFonts w:ascii="Arial" w:hAnsi="Arial" w:cs="Arial"/>
          <w:b/>
        </w:rPr>
        <w:t>en regasificación</w:t>
      </w:r>
      <w:r w:rsidRPr="000F1C93">
        <w:rPr>
          <w:rFonts w:ascii="Arial" w:hAnsi="Arial" w:cs="Arial"/>
          <w:b/>
        </w:rPr>
        <w:t xml:space="preserve"> en 201</w:t>
      </w:r>
      <w:r w:rsidR="00797A35">
        <w:rPr>
          <w:rFonts w:ascii="Arial" w:hAnsi="Arial" w:cs="Arial"/>
          <w:b/>
        </w:rPr>
        <w:t>9</w:t>
      </w:r>
    </w:p>
    <w:p w14:paraId="1CB7EAB3" w14:textId="77777777" w:rsidR="00A936AE" w:rsidRPr="000F1C93" w:rsidRDefault="00A936AE" w:rsidP="00B81D4F">
      <w:pPr>
        <w:jc w:val="both"/>
        <w:rPr>
          <w:rFonts w:ascii="Arial" w:hAnsi="Arial" w:cs="Arial"/>
        </w:rPr>
      </w:pPr>
    </w:p>
    <w:p w14:paraId="56B38CEC" w14:textId="12F984CF" w:rsidR="00B81D4F" w:rsidRPr="000F1C93" w:rsidRDefault="00B81D4F" w:rsidP="00B81D4F">
      <w:pPr>
        <w:jc w:val="both"/>
        <w:rPr>
          <w:rFonts w:ascii="Arial" w:hAnsi="Arial" w:cs="Arial"/>
        </w:rPr>
      </w:pPr>
      <w:r w:rsidRPr="000F1C93">
        <w:rPr>
          <w:rFonts w:ascii="Arial" w:hAnsi="Arial" w:cs="Arial"/>
        </w:rPr>
        <w:t xml:space="preserve">En </w:t>
      </w:r>
      <w:r w:rsidRPr="00CD4DDB">
        <w:rPr>
          <w:rFonts w:ascii="Arial" w:hAnsi="Arial" w:cs="Arial"/>
        </w:rPr>
        <w:t xml:space="preserve">fecha </w:t>
      </w:r>
      <w:r w:rsidR="00797A35" w:rsidRPr="00CD4DDB">
        <w:rPr>
          <w:rFonts w:ascii="Arial" w:hAnsi="Arial" w:cs="Arial"/>
        </w:rPr>
        <w:t>22</w:t>
      </w:r>
      <w:r w:rsidR="00625784" w:rsidRPr="00CD4DDB">
        <w:rPr>
          <w:rFonts w:ascii="Arial" w:hAnsi="Arial" w:cs="Arial"/>
        </w:rPr>
        <w:t xml:space="preserve"> de</w:t>
      </w:r>
      <w:r w:rsidR="00625784" w:rsidRPr="000F1C93">
        <w:rPr>
          <w:rFonts w:ascii="Arial" w:hAnsi="Arial" w:cs="Arial"/>
        </w:rPr>
        <w:t xml:space="preserve"> abril de 20</w:t>
      </w:r>
      <w:r w:rsidR="00797A35">
        <w:rPr>
          <w:rFonts w:ascii="Arial" w:hAnsi="Arial" w:cs="Arial"/>
        </w:rPr>
        <w:t xml:space="preserve">20 </w:t>
      </w:r>
      <w:r w:rsidRPr="000F1C93">
        <w:rPr>
          <w:rFonts w:ascii="Arial" w:hAnsi="Arial" w:cs="Arial"/>
        </w:rPr>
        <w:t xml:space="preserve">tuvo entrada en el registro de la CNMC el </w:t>
      </w:r>
      <w:r w:rsidRPr="000F1C93">
        <w:rPr>
          <w:rFonts w:ascii="Arial" w:hAnsi="Arial" w:cs="Arial"/>
          <w:i/>
        </w:rPr>
        <w:t xml:space="preserve">Informe de supervisión de mermas en </w:t>
      </w:r>
      <w:r w:rsidR="007E54AD" w:rsidRPr="000F1C93">
        <w:rPr>
          <w:rFonts w:ascii="Arial" w:hAnsi="Arial" w:cs="Arial"/>
          <w:i/>
        </w:rPr>
        <w:t>plantas de regasificación</w:t>
      </w:r>
      <w:r w:rsidRPr="000F1C93">
        <w:rPr>
          <w:rFonts w:ascii="Arial" w:hAnsi="Arial" w:cs="Arial"/>
          <w:i/>
        </w:rPr>
        <w:t xml:space="preserve"> 201</w:t>
      </w:r>
      <w:r w:rsidR="00797A35">
        <w:rPr>
          <w:rFonts w:ascii="Arial" w:hAnsi="Arial" w:cs="Arial"/>
          <w:i/>
        </w:rPr>
        <w:t>9</w:t>
      </w:r>
      <w:r w:rsidRPr="000F1C93">
        <w:rPr>
          <w:rFonts w:ascii="Arial" w:hAnsi="Arial" w:cs="Arial"/>
          <w:i/>
        </w:rPr>
        <w:t xml:space="preserve"> </w:t>
      </w:r>
      <w:r w:rsidRPr="000F1C93">
        <w:rPr>
          <w:rFonts w:ascii="Arial" w:hAnsi="Arial" w:cs="Arial"/>
        </w:rPr>
        <w:t xml:space="preserve">elaborado por el GTS. </w:t>
      </w:r>
    </w:p>
    <w:p w14:paraId="413226E8" w14:textId="77777777" w:rsidR="00B81D4F" w:rsidRPr="000F1C93" w:rsidRDefault="00B81D4F" w:rsidP="00B81D4F">
      <w:pPr>
        <w:jc w:val="both"/>
        <w:rPr>
          <w:rFonts w:ascii="Arial" w:hAnsi="Arial" w:cs="Arial"/>
        </w:rPr>
      </w:pPr>
    </w:p>
    <w:p w14:paraId="3C0B5EB5" w14:textId="1352D0E1" w:rsidR="00B81D4F" w:rsidRPr="000F1C93" w:rsidRDefault="00B81D4F" w:rsidP="00B81D4F">
      <w:pPr>
        <w:jc w:val="both"/>
        <w:rPr>
          <w:rFonts w:ascii="Arial" w:hAnsi="Arial" w:cs="Arial"/>
        </w:rPr>
      </w:pPr>
      <w:r w:rsidRPr="000F1C93">
        <w:rPr>
          <w:rFonts w:ascii="Arial" w:hAnsi="Arial" w:cs="Arial"/>
        </w:rPr>
        <w:t xml:space="preserve">Este documento contiene la información a partir de la cual la CNMC ha podido comprobar la correcta determinación del saldo de mermas en </w:t>
      </w:r>
      <w:r w:rsidR="007E54AD" w:rsidRPr="000F1C93">
        <w:rPr>
          <w:rFonts w:ascii="Arial" w:hAnsi="Arial" w:cs="Arial"/>
        </w:rPr>
        <w:t>las plantas de regasificación en 201</w:t>
      </w:r>
      <w:r w:rsidR="00797A35">
        <w:rPr>
          <w:rFonts w:ascii="Arial" w:hAnsi="Arial" w:cs="Arial"/>
        </w:rPr>
        <w:t>9</w:t>
      </w:r>
      <w:r w:rsidR="007E54AD" w:rsidRPr="000F1C93">
        <w:rPr>
          <w:rFonts w:ascii="Arial" w:hAnsi="Arial" w:cs="Arial"/>
        </w:rPr>
        <w:t>:</w:t>
      </w:r>
      <w:r w:rsidRPr="000F1C93">
        <w:rPr>
          <w:rFonts w:ascii="Arial" w:hAnsi="Arial" w:cs="Arial"/>
        </w:rPr>
        <w:t xml:space="preserve"> </w:t>
      </w:r>
    </w:p>
    <w:p w14:paraId="1B3D2A16" w14:textId="77777777" w:rsidR="00B81D4F" w:rsidRPr="000F1C93" w:rsidRDefault="00B81D4F" w:rsidP="007E54AD">
      <w:pPr>
        <w:ind w:left="284"/>
        <w:jc w:val="both"/>
        <w:rPr>
          <w:rFonts w:ascii="Arial" w:hAnsi="Arial" w:cs="Arial"/>
        </w:rPr>
      </w:pPr>
    </w:p>
    <w:p w14:paraId="148449CA" w14:textId="77777777" w:rsidR="007E54AD" w:rsidRPr="000F1C93" w:rsidRDefault="007E54AD" w:rsidP="007E54AD">
      <w:pPr>
        <w:numPr>
          <w:ilvl w:val="0"/>
          <w:numId w:val="40"/>
        </w:numPr>
        <w:tabs>
          <w:tab w:val="left" w:pos="426"/>
        </w:tabs>
        <w:ind w:left="284" w:hanging="357"/>
        <w:jc w:val="both"/>
        <w:rPr>
          <w:rFonts w:ascii="Arial" w:hAnsi="Arial"/>
        </w:rPr>
      </w:pPr>
      <w:r w:rsidRPr="000F1C93">
        <w:rPr>
          <w:rFonts w:ascii="Arial" w:hAnsi="Arial"/>
        </w:rPr>
        <w:t>Las descargas de GNL que se han producido en cada planta de regasificación ese año.</w:t>
      </w:r>
    </w:p>
    <w:p w14:paraId="320F7BE9" w14:textId="5707DD0A" w:rsidR="007E54AD" w:rsidRPr="000F1C93" w:rsidRDefault="007E54AD" w:rsidP="007E54AD">
      <w:pPr>
        <w:numPr>
          <w:ilvl w:val="0"/>
          <w:numId w:val="40"/>
        </w:numPr>
        <w:tabs>
          <w:tab w:val="left" w:pos="426"/>
        </w:tabs>
        <w:ind w:left="284" w:hanging="357"/>
        <w:jc w:val="both"/>
        <w:rPr>
          <w:rFonts w:ascii="Arial" w:hAnsi="Arial"/>
        </w:rPr>
      </w:pPr>
      <w:r w:rsidRPr="000F1C93">
        <w:rPr>
          <w:rFonts w:ascii="Arial" w:hAnsi="Arial"/>
        </w:rPr>
        <w:t xml:space="preserve">El gas </w:t>
      </w:r>
      <w:proofErr w:type="spellStart"/>
      <w:r w:rsidRPr="000F1C93">
        <w:rPr>
          <w:rFonts w:ascii="Arial" w:hAnsi="Arial"/>
        </w:rPr>
        <w:t>regasificado</w:t>
      </w:r>
      <w:proofErr w:type="spellEnd"/>
      <w:r w:rsidRPr="000F1C93">
        <w:rPr>
          <w:rFonts w:ascii="Arial" w:hAnsi="Arial"/>
        </w:rPr>
        <w:t xml:space="preserve"> emitido a la red de transporte en cada planta de regasificación y el GNL cargado en cisternas y en buques, así como el empleado para </w:t>
      </w:r>
      <w:r w:rsidR="005D51BC">
        <w:rPr>
          <w:rFonts w:ascii="Arial" w:hAnsi="Arial"/>
        </w:rPr>
        <w:t xml:space="preserve">la </w:t>
      </w:r>
      <w:r w:rsidRPr="000F1C93">
        <w:rPr>
          <w:rFonts w:ascii="Arial" w:hAnsi="Arial"/>
        </w:rPr>
        <w:t>puesta e</w:t>
      </w:r>
      <w:r w:rsidR="00E91E24" w:rsidRPr="000F1C93">
        <w:rPr>
          <w:rFonts w:ascii="Arial" w:hAnsi="Arial"/>
        </w:rPr>
        <w:t>n</w:t>
      </w:r>
      <w:r w:rsidRPr="000F1C93">
        <w:rPr>
          <w:rFonts w:ascii="Arial" w:hAnsi="Arial"/>
        </w:rPr>
        <w:t xml:space="preserve"> gas y enfriamiento de buques.</w:t>
      </w:r>
    </w:p>
    <w:p w14:paraId="171175F6" w14:textId="0B1B5529" w:rsidR="007E54AD" w:rsidRPr="000F1C93" w:rsidRDefault="007E54AD" w:rsidP="007E54AD">
      <w:pPr>
        <w:numPr>
          <w:ilvl w:val="0"/>
          <w:numId w:val="40"/>
        </w:numPr>
        <w:tabs>
          <w:tab w:val="left" w:pos="426"/>
        </w:tabs>
        <w:ind w:left="284" w:hanging="357"/>
        <w:jc w:val="both"/>
        <w:rPr>
          <w:rFonts w:ascii="Arial" w:hAnsi="Arial"/>
        </w:rPr>
      </w:pPr>
      <w:r w:rsidRPr="000F1C93">
        <w:rPr>
          <w:rFonts w:ascii="Arial" w:hAnsi="Arial"/>
        </w:rPr>
        <w:t>La variación de existencias de GNL en cada planta, esto es, el GNL almacenado al inicio (1 de enero) y al final (31 de diciembre) del periodo considerado</w:t>
      </w:r>
      <w:r w:rsidR="005D51BC">
        <w:rPr>
          <w:rFonts w:ascii="Arial" w:hAnsi="Arial"/>
        </w:rPr>
        <w:t xml:space="preserve"> (2019)</w:t>
      </w:r>
      <w:r w:rsidRPr="000F1C93">
        <w:rPr>
          <w:rFonts w:ascii="Arial" w:hAnsi="Arial"/>
        </w:rPr>
        <w:t>.</w:t>
      </w:r>
    </w:p>
    <w:p w14:paraId="13E70974" w14:textId="329ECB81" w:rsidR="007E54AD" w:rsidRPr="000F1C93" w:rsidRDefault="007E54AD" w:rsidP="007E54AD">
      <w:pPr>
        <w:numPr>
          <w:ilvl w:val="0"/>
          <w:numId w:val="40"/>
        </w:numPr>
        <w:tabs>
          <w:tab w:val="left" w:pos="426"/>
        </w:tabs>
        <w:ind w:left="284" w:hanging="357"/>
        <w:jc w:val="both"/>
        <w:rPr>
          <w:rFonts w:ascii="Arial" w:hAnsi="Arial"/>
        </w:rPr>
      </w:pPr>
      <w:r w:rsidRPr="000F1C93">
        <w:rPr>
          <w:rFonts w:ascii="Arial" w:hAnsi="Arial"/>
        </w:rPr>
        <w:t>El gas consumido en cada planta para su funcionamiento (autoconsumo</w:t>
      </w:r>
      <w:r w:rsidR="005D51BC">
        <w:rPr>
          <w:rFonts w:ascii="Arial" w:hAnsi="Arial"/>
        </w:rPr>
        <w:t>s</w:t>
      </w:r>
      <w:r w:rsidRPr="000F1C93">
        <w:rPr>
          <w:rFonts w:ascii="Arial" w:hAnsi="Arial"/>
        </w:rPr>
        <w:t>).</w:t>
      </w:r>
    </w:p>
    <w:p w14:paraId="21626BA1" w14:textId="7391AEBD" w:rsidR="007E54AD" w:rsidRPr="000F1C93" w:rsidRDefault="007E54AD" w:rsidP="007E54AD">
      <w:pPr>
        <w:numPr>
          <w:ilvl w:val="0"/>
          <w:numId w:val="40"/>
        </w:numPr>
        <w:tabs>
          <w:tab w:val="left" w:pos="426"/>
        </w:tabs>
        <w:ind w:left="284" w:hanging="357"/>
        <w:jc w:val="both"/>
        <w:rPr>
          <w:rFonts w:ascii="Arial" w:hAnsi="Arial"/>
        </w:rPr>
      </w:pPr>
      <w:r w:rsidRPr="000F1C93">
        <w:rPr>
          <w:rFonts w:ascii="Arial" w:hAnsi="Arial"/>
        </w:rPr>
        <w:t>Las mermas retenidas en cada planta, como resultado de la aplicación de los porcentajes de mermas que fija la normativa vigente</w:t>
      </w:r>
      <w:r w:rsidR="005D51BC">
        <w:rPr>
          <w:rFonts w:ascii="Arial" w:hAnsi="Arial"/>
        </w:rPr>
        <w:t xml:space="preserve"> (0,005%)</w:t>
      </w:r>
      <w:r w:rsidRPr="000F1C93">
        <w:rPr>
          <w:rFonts w:ascii="Arial" w:hAnsi="Arial"/>
        </w:rPr>
        <w:t>.</w:t>
      </w:r>
    </w:p>
    <w:p w14:paraId="57C7B3B6" w14:textId="77777777" w:rsidR="007E54AD" w:rsidRPr="000F1C93" w:rsidRDefault="007E54AD" w:rsidP="007E54AD">
      <w:pPr>
        <w:ind w:left="284"/>
        <w:jc w:val="both"/>
        <w:rPr>
          <w:rFonts w:ascii="Arial" w:hAnsi="Arial" w:cs="Arial"/>
        </w:rPr>
      </w:pPr>
    </w:p>
    <w:p w14:paraId="5CC56DD0" w14:textId="35D5419B" w:rsidR="00F67E07" w:rsidRPr="00C85778" w:rsidRDefault="00F67E07" w:rsidP="00F67E07">
      <w:pPr>
        <w:jc w:val="both"/>
        <w:rPr>
          <w:rFonts w:ascii="Arial" w:hAnsi="Arial" w:cs="Arial"/>
        </w:rPr>
      </w:pPr>
      <w:r>
        <w:rPr>
          <w:rFonts w:ascii="Arial" w:hAnsi="Arial" w:cs="Arial"/>
        </w:rPr>
        <w:t xml:space="preserve">En fecha 2 de octubre de 2020, tras </w:t>
      </w:r>
      <w:r w:rsidR="004A0B58">
        <w:rPr>
          <w:rFonts w:ascii="Arial" w:hAnsi="Arial" w:cs="Arial"/>
        </w:rPr>
        <w:t>l</w:t>
      </w:r>
      <w:r>
        <w:rPr>
          <w:rFonts w:ascii="Arial" w:hAnsi="Arial" w:cs="Arial"/>
        </w:rPr>
        <w:t xml:space="preserve">a petición de revisión de los saldos de mermas por parte de la CNMC, el GTS remitió </w:t>
      </w:r>
      <w:r w:rsidR="004A0B58">
        <w:rPr>
          <w:rFonts w:ascii="Arial" w:hAnsi="Arial" w:cs="Arial"/>
        </w:rPr>
        <w:t xml:space="preserve">un segundo </w:t>
      </w:r>
      <w:r w:rsidRPr="00626638">
        <w:rPr>
          <w:rFonts w:ascii="Arial" w:hAnsi="Arial" w:cs="Arial"/>
          <w:i/>
          <w:iCs/>
        </w:rPr>
        <w:t>Informe sobre los saldos de mermas de 2019 comunicados a la CNMC</w:t>
      </w:r>
      <w:r>
        <w:rPr>
          <w:rFonts w:ascii="Arial" w:hAnsi="Arial" w:cs="Arial"/>
          <w:i/>
          <w:iCs/>
        </w:rPr>
        <w:t>. Infraestructuras de regasificación y transporte</w:t>
      </w:r>
      <w:r w:rsidRPr="00626638">
        <w:rPr>
          <w:rFonts w:ascii="Arial" w:hAnsi="Arial" w:cs="Arial"/>
          <w:i/>
          <w:iCs/>
        </w:rPr>
        <w:t xml:space="preserve"> </w:t>
      </w:r>
      <w:r>
        <w:rPr>
          <w:rFonts w:ascii="Arial" w:hAnsi="Arial" w:cs="Arial"/>
        </w:rPr>
        <w:t>con nueva información en relación al volumen y sentido de los datos de mermas reales y saldos de mermas de las instalaciones gasistas registrados en el año 2019.</w:t>
      </w:r>
      <w:r w:rsidR="004A0B58">
        <w:rPr>
          <w:rFonts w:ascii="Arial" w:hAnsi="Arial" w:cs="Arial"/>
        </w:rPr>
        <w:t xml:space="preserve"> </w:t>
      </w:r>
    </w:p>
    <w:p w14:paraId="76B4238E" w14:textId="2465101C" w:rsidR="00F67E07" w:rsidRDefault="00F67E07" w:rsidP="00B81D4F">
      <w:pPr>
        <w:jc w:val="both"/>
        <w:rPr>
          <w:rFonts w:ascii="Arial" w:hAnsi="Arial" w:cs="Arial"/>
        </w:rPr>
      </w:pPr>
    </w:p>
    <w:p w14:paraId="5D7D3CC3" w14:textId="587C3CCD" w:rsidR="00CB4C72" w:rsidRDefault="00CB4C72" w:rsidP="00CB4C72">
      <w:pPr>
        <w:jc w:val="both"/>
        <w:rPr>
          <w:rFonts w:ascii="Arial" w:hAnsi="Arial" w:cs="Arial"/>
        </w:rPr>
      </w:pPr>
      <w:bookmarkStart w:id="2" w:name="_Hlk55293221"/>
      <w:r>
        <w:rPr>
          <w:rFonts w:ascii="Arial" w:hAnsi="Arial" w:cs="Arial"/>
        </w:rPr>
        <w:t>Para la elaboración de este informe, el GTS puso a disposición de los operadores los datos empleados para el c</w:t>
      </w:r>
      <w:r w:rsidR="008F7B94">
        <w:rPr>
          <w:rFonts w:ascii="Arial" w:hAnsi="Arial" w:cs="Arial"/>
        </w:rPr>
        <w:t>á</w:t>
      </w:r>
      <w:r>
        <w:rPr>
          <w:rFonts w:ascii="Arial" w:hAnsi="Arial" w:cs="Arial"/>
        </w:rPr>
        <w:t xml:space="preserve">lculo de mermas en 2019. </w:t>
      </w:r>
      <w:r w:rsidRPr="00621878">
        <w:rPr>
          <w:rFonts w:ascii="Arial" w:hAnsi="Arial" w:cs="Arial"/>
        </w:rPr>
        <w:t xml:space="preserve">Todos los operadores </w:t>
      </w:r>
      <w:r>
        <w:rPr>
          <w:rFonts w:ascii="Arial" w:hAnsi="Arial" w:cs="Arial"/>
        </w:rPr>
        <w:t>ratificaron q</w:t>
      </w:r>
      <w:r w:rsidRPr="00621878">
        <w:rPr>
          <w:rFonts w:ascii="Arial" w:hAnsi="Arial" w:cs="Arial"/>
        </w:rPr>
        <w:t>ue</w:t>
      </w:r>
      <w:r w:rsidRPr="00626638">
        <w:rPr>
          <w:rFonts w:ascii="Arial" w:hAnsi="Arial" w:cs="Arial"/>
        </w:rPr>
        <w:t xml:space="preserve"> la información del año 2019 enviada al SL-ATR e</w:t>
      </w:r>
      <w:r>
        <w:rPr>
          <w:rFonts w:ascii="Arial" w:hAnsi="Arial" w:cs="Arial"/>
        </w:rPr>
        <w:t>ra</w:t>
      </w:r>
      <w:r w:rsidRPr="00626638">
        <w:rPr>
          <w:rFonts w:ascii="Arial" w:hAnsi="Arial" w:cs="Arial"/>
        </w:rPr>
        <w:t xml:space="preserve"> correcta y que las mediciones se ha</w:t>
      </w:r>
      <w:r>
        <w:rPr>
          <w:rFonts w:ascii="Arial" w:hAnsi="Arial" w:cs="Arial"/>
        </w:rPr>
        <w:t>bía</w:t>
      </w:r>
      <w:r w:rsidRPr="00626638">
        <w:rPr>
          <w:rFonts w:ascii="Arial" w:hAnsi="Arial" w:cs="Arial"/>
        </w:rPr>
        <w:t>n realizado conforme a lo indicado en los protocolos de detalle vigentes (PD-01 y PD-05)</w:t>
      </w:r>
      <w:r>
        <w:rPr>
          <w:rFonts w:ascii="Arial" w:hAnsi="Arial" w:cs="Arial"/>
        </w:rPr>
        <w:t>, mostrando su conformidad con los saldos de mermas calculados</w:t>
      </w:r>
      <w:r w:rsidRPr="00626638">
        <w:rPr>
          <w:rFonts w:ascii="Arial" w:hAnsi="Arial" w:cs="Arial"/>
        </w:rPr>
        <w:t>.</w:t>
      </w:r>
      <w:r w:rsidRPr="00621878">
        <w:rPr>
          <w:rFonts w:ascii="Arial" w:hAnsi="Arial" w:cs="Arial"/>
        </w:rPr>
        <w:t xml:space="preserve"> </w:t>
      </w:r>
    </w:p>
    <w:p w14:paraId="6AB6911E" w14:textId="77777777" w:rsidR="00832B4E" w:rsidRDefault="00832B4E" w:rsidP="00CB4C72">
      <w:pPr>
        <w:jc w:val="both"/>
        <w:rPr>
          <w:rFonts w:ascii="Arial" w:hAnsi="Arial" w:cs="Arial"/>
        </w:rPr>
      </w:pPr>
    </w:p>
    <w:p w14:paraId="2890F89B" w14:textId="11DE1C6E" w:rsidR="00CB4C72" w:rsidRPr="00832B4E" w:rsidRDefault="00CB4C72" w:rsidP="00832B4E">
      <w:pPr>
        <w:jc w:val="both"/>
        <w:rPr>
          <w:rFonts w:ascii="Arial" w:hAnsi="Arial" w:cs="Arial"/>
        </w:rPr>
      </w:pPr>
      <w:r w:rsidRPr="00626638">
        <w:rPr>
          <w:rFonts w:ascii="Arial" w:hAnsi="Arial" w:cs="Arial"/>
        </w:rPr>
        <w:t>E</w:t>
      </w:r>
      <w:r>
        <w:rPr>
          <w:rFonts w:ascii="Arial" w:hAnsi="Arial" w:cs="Arial"/>
        </w:rPr>
        <w:t>n su informe, e</w:t>
      </w:r>
      <w:r w:rsidRPr="00626638">
        <w:rPr>
          <w:rFonts w:ascii="Arial" w:hAnsi="Arial" w:cs="Arial"/>
        </w:rPr>
        <w:t xml:space="preserve">l GTS remarca las comprobaciones realizadas en cuanto a la coherencia entre los balances físicos y comerciales, garantizando la correcta asignación del flujo diario de gas entre todos los agentes del sistema, conforme a lo establecido en la </w:t>
      </w:r>
      <w:r>
        <w:rPr>
          <w:rFonts w:ascii="Arial" w:hAnsi="Arial" w:cs="Arial"/>
        </w:rPr>
        <w:t>normativa de gestión técnica vigente (</w:t>
      </w:r>
      <w:r w:rsidRPr="00626638">
        <w:rPr>
          <w:rFonts w:ascii="Arial" w:hAnsi="Arial" w:cs="Arial"/>
        </w:rPr>
        <w:t>NGTS-06 y NGTS-07</w:t>
      </w:r>
      <w:r>
        <w:rPr>
          <w:rFonts w:ascii="Arial" w:hAnsi="Arial" w:cs="Arial"/>
        </w:rPr>
        <w:t>)</w:t>
      </w:r>
      <w:r w:rsidRPr="00626638">
        <w:rPr>
          <w:rFonts w:ascii="Arial" w:hAnsi="Arial" w:cs="Arial"/>
        </w:rPr>
        <w:t xml:space="preserve"> antes del cierre mensual de balances final provisional y final definitivo en el SL-ATR. </w:t>
      </w:r>
      <w:r>
        <w:rPr>
          <w:rFonts w:ascii="Arial" w:hAnsi="Arial" w:cs="Arial"/>
        </w:rPr>
        <w:t>Además, añade</w:t>
      </w:r>
      <w:r w:rsidRPr="00626638">
        <w:rPr>
          <w:rFonts w:ascii="Arial" w:hAnsi="Arial" w:cs="Arial"/>
        </w:rPr>
        <w:t xml:space="preserve"> que los usuarios y operadores pueden reclamar al GTS cualquier incidencia que pudieran detectar en la publicación en el SL-ATR del saldo diario, en los dis</w:t>
      </w:r>
      <w:r>
        <w:rPr>
          <w:rFonts w:ascii="Arial" w:hAnsi="Arial" w:cs="Arial"/>
        </w:rPr>
        <w:t>t</w:t>
      </w:r>
      <w:r w:rsidRPr="00626638">
        <w:rPr>
          <w:rFonts w:ascii="Arial" w:hAnsi="Arial" w:cs="Arial"/>
        </w:rPr>
        <w:t>intos horizontes de balance mensual (m+1, m+3 y m+15), así como del saldo anual final provisional y final definitivo.</w:t>
      </w:r>
    </w:p>
    <w:p w14:paraId="5C9E1E22" w14:textId="77777777" w:rsidR="00CB4C72" w:rsidRPr="000E4778" w:rsidRDefault="00CB4C72">
      <w:pPr>
        <w:jc w:val="both"/>
        <w:rPr>
          <w:rFonts w:ascii="Arial" w:hAnsi="Arial" w:cs="Arial"/>
        </w:rPr>
      </w:pPr>
    </w:p>
    <w:p w14:paraId="38F6F7A9" w14:textId="77777777" w:rsidR="00CB4C72" w:rsidRDefault="00CB4C72">
      <w:pPr>
        <w:jc w:val="both"/>
        <w:rPr>
          <w:rFonts w:ascii="Arial" w:hAnsi="Arial" w:cs="Arial"/>
        </w:rPr>
      </w:pPr>
      <w:r>
        <w:rPr>
          <w:rFonts w:ascii="Arial" w:hAnsi="Arial" w:cs="Arial"/>
        </w:rPr>
        <w:t xml:space="preserve">Por otro lado, se hace notar que varios operadores han detectado ciertas anomalías puntuales en determinados instrumentos de medida que interfieren en el balance: </w:t>
      </w:r>
    </w:p>
    <w:p w14:paraId="7587EB27" w14:textId="77777777" w:rsidR="00CB4C72" w:rsidRPr="00626638" w:rsidRDefault="00CB4C72">
      <w:pPr>
        <w:jc w:val="both"/>
        <w:rPr>
          <w:rFonts w:ascii="Arial" w:hAnsi="Arial" w:cs="Arial"/>
          <w:b/>
          <w:bCs/>
          <w:u w:val="single"/>
        </w:rPr>
      </w:pPr>
    </w:p>
    <w:p w14:paraId="7A55326C" w14:textId="7294D240" w:rsidR="00CB4C72" w:rsidRDefault="00CB4C72" w:rsidP="00832B4E">
      <w:pPr>
        <w:pStyle w:val="Prrafodelista"/>
        <w:numPr>
          <w:ilvl w:val="0"/>
          <w:numId w:val="43"/>
        </w:numPr>
        <w:tabs>
          <w:tab w:val="clear" w:pos="567"/>
        </w:tabs>
        <w:spacing w:before="0" w:after="0" w:line="240" w:lineRule="auto"/>
        <w:ind w:left="357"/>
        <w:contextualSpacing/>
      </w:pPr>
      <w:proofErr w:type="spellStart"/>
      <w:r w:rsidRPr="009C1BD6">
        <w:rPr>
          <w:b/>
          <w:bCs/>
        </w:rPr>
        <w:t>Reganosa</w:t>
      </w:r>
      <w:proofErr w:type="spellEnd"/>
      <w:r>
        <w:t xml:space="preserve"> informa sobre unas medidas incorrectas en un cromatógrafo de un ciclo combinado</w:t>
      </w:r>
      <w:r w:rsidR="00BD4E3D">
        <w:t xml:space="preserve"> conectado a la red de transporte</w:t>
      </w:r>
      <w:r>
        <w:t xml:space="preserve"> de su propiedad durante los meses de julio, agosto y septiembre 2019, que afectará a los repartos finales definitivos correspondientes al m+15, que tendrá lugar los meses de octubre, noviembre y diciembre 2020.</w:t>
      </w:r>
    </w:p>
    <w:p w14:paraId="317C51CC" w14:textId="77777777" w:rsidR="00CB4C72" w:rsidRPr="00626638" w:rsidRDefault="00CB4C72" w:rsidP="00832B4E">
      <w:pPr>
        <w:pStyle w:val="Prrafodelista"/>
        <w:tabs>
          <w:tab w:val="clear" w:pos="567"/>
        </w:tabs>
        <w:spacing w:before="0" w:after="0" w:line="240" w:lineRule="auto"/>
        <w:ind w:left="360"/>
        <w:contextualSpacing/>
        <w:rPr>
          <w:b/>
          <w:bCs/>
          <w:u w:val="single"/>
        </w:rPr>
      </w:pPr>
    </w:p>
    <w:bookmarkEnd w:id="2"/>
    <w:p w14:paraId="130A541E" w14:textId="77777777" w:rsidR="00406A97" w:rsidRDefault="00406A97" w:rsidP="00406A97">
      <w:pPr>
        <w:pStyle w:val="Prrafodelista"/>
        <w:numPr>
          <w:ilvl w:val="0"/>
          <w:numId w:val="42"/>
        </w:numPr>
        <w:tabs>
          <w:tab w:val="clear" w:pos="567"/>
        </w:tabs>
        <w:spacing w:before="0" w:after="0" w:line="240" w:lineRule="auto"/>
        <w:contextualSpacing/>
      </w:pPr>
      <w:r w:rsidRPr="00A755B4">
        <w:rPr>
          <w:b/>
          <w:bCs/>
        </w:rPr>
        <w:t>Enagás Transporte</w:t>
      </w:r>
      <w:r w:rsidRPr="00A755B4">
        <w:t xml:space="preserve"> concluye que</w:t>
      </w:r>
      <w:r>
        <w:t>,</w:t>
      </w:r>
      <w:r w:rsidRPr="00A755B4">
        <w:t xml:space="preserve"> </w:t>
      </w:r>
      <w:r w:rsidRPr="00626638">
        <w:t xml:space="preserve">dada la complejidad y extensión de </w:t>
      </w:r>
      <w:r>
        <w:t>su</w:t>
      </w:r>
      <w:r w:rsidRPr="00626638">
        <w:t xml:space="preserve"> red de transporte, no es posible observar una relación directa entre el comportamiento de las mermas de regasificación y las mermas de la red de transporte. </w:t>
      </w:r>
      <w:r>
        <w:t>No obstante</w:t>
      </w:r>
      <w:r w:rsidRPr="00626638">
        <w:t xml:space="preserve">, </w:t>
      </w:r>
      <w:r>
        <w:t xml:space="preserve">señala que entre marzo y abril de 2019 se instaló un </w:t>
      </w:r>
      <w:r w:rsidRPr="00A755B4">
        <w:t xml:space="preserve">medidor provisional en </w:t>
      </w:r>
      <w:proofErr w:type="spellStart"/>
      <w:r w:rsidRPr="00A755B4">
        <w:t>Badames</w:t>
      </w:r>
      <w:proofErr w:type="spellEnd"/>
      <w:r>
        <w:t>, punto de la red donde el gasoducto Bilbao-</w:t>
      </w:r>
      <w:proofErr w:type="spellStart"/>
      <w:r>
        <w:t>Treto</w:t>
      </w:r>
      <w:proofErr w:type="spellEnd"/>
      <w:r>
        <w:t xml:space="preserve">, de </w:t>
      </w:r>
      <w:r w:rsidRPr="00626638">
        <w:t>Enagás Transporte del Norte</w:t>
      </w:r>
      <w:r>
        <w:t>, conecta con la red de Enagás</w:t>
      </w:r>
      <w:r w:rsidRPr="00A755B4">
        <w:t>.</w:t>
      </w:r>
    </w:p>
    <w:p w14:paraId="0E49BC86" w14:textId="77777777" w:rsidR="00406A97" w:rsidRDefault="00406A97" w:rsidP="00406A97">
      <w:pPr>
        <w:pStyle w:val="Prrafodelista"/>
        <w:tabs>
          <w:tab w:val="clear" w:pos="567"/>
        </w:tabs>
        <w:spacing w:before="0" w:after="0" w:line="240" w:lineRule="auto"/>
        <w:ind w:left="360"/>
        <w:contextualSpacing/>
      </w:pPr>
    </w:p>
    <w:p w14:paraId="3DD207F1" w14:textId="77777777" w:rsidR="00406A97" w:rsidRDefault="00406A97" w:rsidP="00406A97">
      <w:pPr>
        <w:pStyle w:val="Prrafodelista"/>
        <w:tabs>
          <w:tab w:val="clear" w:pos="567"/>
        </w:tabs>
        <w:spacing w:before="0" w:after="0" w:line="240" w:lineRule="auto"/>
        <w:ind w:left="360"/>
        <w:contextualSpacing/>
      </w:pPr>
      <w:r w:rsidRPr="00D9153A">
        <w:rPr>
          <w:noProof/>
        </w:rPr>
        <w:drawing>
          <wp:inline distT="0" distB="0" distL="0" distR="0" wp14:anchorId="30A2B0E3" wp14:editId="6C68D0B3">
            <wp:extent cx="5400040" cy="2967042"/>
            <wp:effectExtent l="19050" t="19050" r="10160" b="2413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967042"/>
                    </a:xfrm>
                    <a:prstGeom prst="rect">
                      <a:avLst/>
                    </a:prstGeom>
                    <a:noFill/>
                    <a:ln>
                      <a:solidFill>
                        <a:schemeClr val="tx1"/>
                      </a:solidFill>
                    </a:ln>
                  </pic:spPr>
                </pic:pic>
              </a:graphicData>
            </a:graphic>
          </wp:inline>
        </w:drawing>
      </w:r>
    </w:p>
    <w:p w14:paraId="3D878949" w14:textId="77777777" w:rsidR="00406A97" w:rsidRDefault="00406A97" w:rsidP="00406A97">
      <w:pPr>
        <w:jc w:val="center"/>
        <w:rPr>
          <w:rFonts w:ascii="Arial" w:hAnsi="Arial" w:cs="Arial"/>
          <w:sz w:val="20"/>
          <w:szCs w:val="20"/>
        </w:rPr>
      </w:pPr>
    </w:p>
    <w:p w14:paraId="13AA7C1B" w14:textId="77777777" w:rsidR="00406A97" w:rsidRPr="004F173E" w:rsidRDefault="00406A97" w:rsidP="00406A97">
      <w:pPr>
        <w:jc w:val="center"/>
        <w:rPr>
          <w:rFonts w:ascii="Arial" w:hAnsi="Arial" w:cs="Arial"/>
          <w:sz w:val="20"/>
          <w:szCs w:val="20"/>
        </w:rPr>
      </w:pPr>
      <w:r w:rsidRPr="004F173E">
        <w:rPr>
          <w:rFonts w:ascii="Arial" w:hAnsi="Arial" w:cs="Arial"/>
          <w:sz w:val="20"/>
          <w:szCs w:val="20"/>
        </w:rPr>
        <w:t xml:space="preserve">Figura 1: </w:t>
      </w:r>
      <w:r>
        <w:rPr>
          <w:rFonts w:ascii="Arial" w:hAnsi="Arial" w:cs="Arial"/>
          <w:sz w:val="20"/>
          <w:szCs w:val="20"/>
        </w:rPr>
        <w:t>Esquema del gasoducto Bilbao-</w:t>
      </w:r>
      <w:proofErr w:type="spellStart"/>
      <w:r>
        <w:rPr>
          <w:rFonts w:ascii="Arial" w:hAnsi="Arial" w:cs="Arial"/>
          <w:sz w:val="20"/>
          <w:szCs w:val="20"/>
        </w:rPr>
        <w:t>Treto</w:t>
      </w:r>
      <w:proofErr w:type="spellEnd"/>
      <w:r>
        <w:rPr>
          <w:rFonts w:ascii="Arial" w:hAnsi="Arial" w:cs="Arial"/>
          <w:sz w:val="20"/>
          <w:szCs w:val="20"/>
        </w:rPr>
        <w:t>. Fuente: 2º informe sobre los saldos de mermas de 2019 comunicados a la CNMC, de septiembre de 2020</w:t>
      </w:r>
      <w:r w:rsidRPr="004F173E">
        <w:rPr>
          <w:rFonts w:ascii="Arial" w:hAnsi="Arial" w:cs="Arial"/>
          <w:sz w:val="20"/>
          <w:szCs w:val="20"/>
        </w:rPr>
        <w:t>.</w:t>
      </w:r>
    </w:p>
    <w:p w14:paraId="0E67CF55" w14:textId="77777777" w:rsidR="00406A97" w:rsidRDefault="00406A97" w:rsidP="00406A97">
      <w:pPr>
        <w:pStyle w:val="Prrafodelista"/>
        <w:tabs>
          <w:tab w:val="clear" w:pos="567"/>
        </w:tabs>
        <w:spacing w:before="0" w:after="0" w:line="240" w:lineRule="auto"/>
        <w:ind w:left="360"/>
        <w:contextualSpacing/>
      </w:pPr>
    </w:p>
    <w:p w14:paraId="3F89BA35" w14:textId="77777777" w:rsidR="00406A97" w:rsidRDefault="00406A97" w:rsidP="00406A97">
      <w:pPr>
        <w:pStyle w:val="Prrafodelista"/>
        <w:tabs>
          <w:tab w:val="clear" w:pos="567"/>
        </w:tabs>
        <w:spacing w:before="0" w:after="0" w:line="240" w:lineRule="auto"/>
        <w:ind w:left="360"/>
        <w:contextualSpacing/>
      </w:pPr>
      <w:r>
        <w:t xml:space="preserve">Hasta ese momento no existía unidad de medida, para calcular el balance de las redes de los dos transportistas y, por tanto, para calcular las mermas reales en estos tramos, se empleaba una fórmula que, en función de la capacidad de almacenamiento de la red, la regasificación de la planta de Bilbao y la medición de otras unidades de medida instaladas, determinaba el gas vehiculado en </w:t>
      </w:r>
      <w:proofErr w:type="spellStart"/>
      <w:r>
        <w:t>Badames</w:t>
      </w:r>
      <w:proofErr w:type="spellEnd"/>
      <w:r>
        <w:t xml:space="preserve">. No obstante, coincidiendo con la instalación del medidor provisional, que permite calcular las mermas reales del tramo </w:t>
      </w:r>
      <w:proofErr w:type="spellStart"/>
      <w:r>
        <w:t>Treto</w:t>
      </w:r>
      <w:proofErr w:type="spellEnd"/>
      <w:r>
        <w:t xml:space="preserve"> – Bilbao – Arrigorriaga, Enagás indica haber detectado un </w:t>
      </w:r>
      <w:r w:rsidRPr="00A755B4">
        <w:t xml:space="preserve">cambio de tendencia en el volumen de mermas registradas en </w:t>
      </w:r>
      <w:r>
        <w:t>dicho tramo.</w:t>
      </w:r>
      <w:r w:rsidRPr="00A755B4">
        <w:t xml:space="preserve"> </w:t>
      </w:r>
    </w:p>
    <w:p w14:paraId="21B9644A" w14:textId="77777777" w:rsidR="00406A97" w:rsidRDefault="00406A97" w:rsidP="00406A97">
      <w:pPr>
        <w:pStyle w:val="Prrafodelista"/>
        <w:tabs>
          <w:tab w:val="clear" w:pos="567"/>
        </w:tabs>
        <w:spacing w:before="0" w:after="0" w:line="240" w:lineRule="auto"/>
        <w:ind w:left="360"/>
        <w:contextualSpacing/>
      </w:pPr>
      <w:bookmarkStart w:id="3" w:name="_Hlk55395825"/>
    </w:p>
    <w:p w14:paraId="604926F9" w14:textId="77777777" w:rsidR="00406A97" w:rsidRDefault="00406A97" w:rsidP="00406A97">
      <w:pPr>
        <w:pStyle w:val="Prrafodelista"/>
        <w:tabs>
          <w:tab w:val="clear" w:pos="567"/>
        </w:tabs>
        <w:spacing w:before="0" w:after="0" w:line="240" w:lineRule="auto"/>
        <w:ind w:left="360"/>
        <w:contextualSpacing/>
      </w:pPr>
      <w:r w:rsidRPr="00D9153A">
        <w:rPr>
          <w:noProof/>
        </w:rPr>
        <w:drawing>
          <wp:inline distT="0" distB="0" distL="0" distR="0" wp14:anchorId="0C1B53DF" wp14:editId="0F6D5AC5">
            <wp:extent cx="5400040" cy="2282374"/>
            <wp:effectExtent l="19050" t="19050" r="10160" b="2286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282374"/>
                    </a:xfrm>
                    <a:prstGeom prst="rect">
                      <a:avLst/>
                    </a:prstGeom>
                    <a:noFill/>
                    <a:ln>
                      <a:solidFill>
                        <a:schemeClr val="tx1"/>
                      </a:solidFill>
                    </a:ln>
                  </pic:spPr>
                </pic:pic>
              </a:graphicData>
            </a:graphic>
          </wp:inline>
        </w:drawing>
      </w:r>
    </w:p>
    <w:p w14:paraId="71691238" w14:textId="77777777" w:rsidR="00406A97" w:rsidRDefault="00406A97" w:rsidP="00406A97">
      <w:pPr>
        <w:jc w:val="center"/>
        <w:rPr>
          <w:rFonts w:ascii="Arial" w:hAnsi="Arial" w:cs="Arial"/>
          <w:sz w:val="20"/>
          <w:szCs w:val="20"/>
        </w:rPr>
      </w:pPr>
    </w:p>
    <w:p w14:paraId="66ECE088" w14:textId="77777777" w:rsidR="00406A97" w:rsidRPr="004F173E" w:rsidRDefault="00406A97" w:rsidP="00406A97">
      <w:pPr>
        <w:jc w:val="center"/>
        <w:rPr>
          <w:rFonts w:ascii="Arial" w:hAnsi="Arial" w:cs="Arial"/>
          <w:sz w:val="20"/>
          <w:szCs w:val="20"/>
        </w:rPr>
      </w:pPr>
      <w:r w:rsidRPr="004F173E">
        <w:rPr>
          <w:rFonts w:ascii="Arial" w:hAnsi="Arial" w:cs="Arial"/>
          <w:sz w:val="20"/>
          <w:szCs w:val="20"/>
        </w:rPr>
        <w:t xml:space="preserve">Figura </w:t>
      </w:r>
      <w:r>
        <w:rPr>
          <w:rFonts w:ascii="Arial" w:hAnsi="Arial" w:cs="Arial"/>
          <w:sz w:val="20"/>
          <w:szCs w:val="20"/>
        </w:rPr>
        <w:t>2</w:t>
      </w:r>
      <w:r w:rsidRPr="004F173E">
        <w:rPr>
          <w:rFonts w:ascii="Arial" w:hAnsi="Arial" w:cs="Arial"/>
          <w:sz w:val="20"/>
          <w:szCs w:val="20"/>
        </w:rPr>
        <w:t>:</w:t>
      </w:r>
      <w:r>
        <w:rPr>
          <w:rFonts w:ascii="Arial" w:hAnsi="Arial" w:cs="Arial"/>
          <w:sz w:val="20"/>
          <w:szCs w:val="20"/>
        </w:rPr>
        <w:t xml:space="preserve"> Evolución de mermas en 2019 en el tramo de gasoducto </w:t>
      </w:r>
      <w:proofErr w:type="spellStart"/>
      <w:r>
        <w:rPr>
          <w:rFonts w:ascii="Arial" w:hAnsi="Arial" w:cs="Arial"/>
          <w:sz w:val="20"/>
          <w:szCs w:val="20"/>
        </w:rPr>
        <w:t>Treto</w:t>
      </w:r>
      <w:proofErr w:type="spellEnd"/>
      <w:r>
        <w:rPr>
          <w:rFonts w:ascii="Arial" w:hAnsi="Arial" w:cs="Arial"/>
          <w:sz w:val="20"/>
          <w:szCs w:val="20"/>
        </w:rPr>
        <w:t>-Bilbao-</w:t>
      </w:r>
      <w:proofErr w:type="spellStart"/>
      <w:r>
        <w:rPr>
          <w:rFonts w:ascii="Arial" w:hAnsi="Arial" w:cs="Arial"/>
          <w:sz w:val="20"/>
          <w:szCs w:val="20"/>
        </w:rPr>
        <w:t>Arrigorriaga</w:t>
      </w:r>
      <w:proofErr w:type="spellEnd"/>
      <w:r>
        <w:rPr>
          <w:rFonts w:ascii="Arial" w:hAnsi="Arial" w:cs="Arial"/>
          <w:sz w:val="20"/>
          <w:szCs w:val="20"/>
        </w:rPr>
        <w:t>. Fuente: 2º informe sobre los saldos de mermas de 2019 comunicados a la CNMC, de septiembre de 2020</w:t>
      </w:r>
      <w:r w:rsidRPr="004F173E">
        <w:rPr>
          <w:rFonts w:ascii="Arial" w:hAnsi="Arial" w:cs="Arial"/>
          <w:sz w:val="20"/>
          <w:szCs w:val="20"/>
        </w:rPr>
        <w:t>.</w:t>
      </w:r>
    </w:p>
    <w:p w14:paraId="286EBAB8" w14:textId="77777777" w:rsidR="00406A97" w:rsidRDefault="00406A97" w:rsidP="00406A97">
      <w:pPr>
        <w:pStyle w:val="Prrafodelista"/>
        <w:tabs>
          <w:tab w:val="clear" w:pos="567"/>
        </w:tabs>
        <w:spacing w:before="0" w:after="0" w:line="240" w:lineRule="auto"/>
        <w:ind w:left="360"/>
        <w:contextualSpacing/>
      </w:pPr>
    </w:p>
    <w:p w14:paraId="3AFDDB3E" w14:textId="77777777" w:rsidR="00406A97" w:rsidRDefault="00406A97" w:rsidP="00406A97">
      <w:pPr>
        <w:pStyle w:val="Prrafodelista"/>
        <w:tabs>
          <w:tab w:val="clear" w:pos="567"/>
        </w:tabs>
        <w:spacing w:before="0" w:after="0" w:line="240" w:lineRule="auto"/>
        <w:ind w:left="360"/>
        <w:contextualSpacing/>
      </w:pPr>
      <w:r>
        <w:t xml:space="preserve">En este sentido, Enagás señala que </w:t>
      </w:r>
      <w:r w:rsidRPr="0041797A">
        <w:rPr>
          <w:i/>
        </w:rPr>
        <w:t>“como puede observarse en el gráfico anterior, este tramo presenta unas diferencias excesivamente altas”</w:t>
      </w:r>
      <w:r>
        <w:t>. Por eso, Enagás decidió revisar las unidades de medida del tramo, tanto las pertenecientes a Enagás Transporte del Norte y Enagás, como la de los clientes conectados al mismo (</w:t>
      </w:r>
      <w:proofErr w:type="spellStart"/>
      <w:r>
        <w:t>Petronor</w:t>
      </w:r>
      <w:proofErr w:type="spellEnd"/>
      <w:r>
        <w:t xml:space="preserve"> y Ciclo Combinado de Santurce). Además, solicitó información a BBG. Con todo ello, Enagás no llegó a determinar la causa de los datos observados. </w:t>
      </w:r>
    </w:p>
    <w:p w14:paraId="37D0AE6B" w14:textId="77777777" w:rsidR="00406A97" w:rsidRDefault="00406A97" w:rsidP="00406A97">
      <w:pPr>
        <w:pStyle w:val="Prrafodelista"/>
        <w:tabs>
          <w:tab w:val="clear" w:pos="567"/>
        </w:tabs>
        <w:spacing w:before="0" w:after="0" w:line="240" w:lineRule="auto"/>
        <w:ind w:left="360"/>
        <w:contextualSpacing/>
      </w:pPr>
    </w:p>
    <w:p w14:paraId="5BC010FE" w14:textId="77777777" w:rsidR="00406A97" w:rsidRPr="00A755B4" w:rsidRDefault="00406A97" w:rsidP="00406A97">
      <w:pPr>
        <w:pStyle w:val="Prrafodelista"/>
        <w:tabs>
          <w:tab w:val="clear" w:pos="567"/>
        </w:tabs>
        <w:spacing w:before="0" w:after="0" w:line="240" w:lineRule="auto"/>
        <w:ind w:left="360"/>
        <w:contextualSpacing/>
      </w:pPr>
      <w:r>
        <w:t xml:space="preserve">En consecuencia, teniendo en cuenta que la planta de regasificación de Bilbao es el principal punto de entrada en este tramo de la red de transporte, y que, tal como explica Enagás, en </w:t>
      </w:r>
      <w:r w:rsidRPr="0041797A">
        <w:rPr>
          <w:i/>
        </w:rPr>
        <w:t>“la planta de Bilbao, en la cual en el año 2019, y de acuerdo con los datos publicados por el GTS sobre Saldos Anuales en plantas de regasificación, se ha registrado un aumento en el saldo de mermas respecto a 2018, siendo en sentido opuesto al de la red de transporte a la que está conectada”</w:t>
      </w:r>
      <w:r>
        <w:t>, Enagás planteó la posibilidad de que sus servicios técnicos acudieran también a revisar la unidad de medida de la planta, habiendo concertado con BBG una vista para el 11 de marzo de 2020. Esta visita tuvo que ser suspendida de manera temporal c</w:t>
      </w:r>
      <w:r w:rsidRPr="00A755B4">
        <w:t>on motivo del COVID-19</w:t>
      </w:r>
      <w:r>
        <w:t>, estando a la espera de que pueda realizarse</w:t>
      </w:r>
      <w:r w:rsidRPr="00A755B4">
        <w:t>.</w:t>
      </w:r>
    </w:p>
    <w:bookmarkEnd w:id="3"/>
    <w:p w14:paraId="7258BD1B" w14:textId="77777777" w:rsidR="00406A97" w:rsidRPr="00A755B4" w:rsidRDefault="00406A97" w:rsidP="00406A97">
      <w:pPr>
        <w:jc w:val="both"/>
        <w:rPr>
          <w:rFonts w:ascii="Arial" w:hAnsi="Arial" w:cs="Arial"/>
        </w:rPr>
      </w:pPr>
    </w:p>
    <w:p w14:paraId="515BB709" w14:textId="77777777" w:rsidR="00406A97" w:rsidRPr="00626638" w:rsidRDefault="00406A97" w:rsidP="00406A97">
      <w:pPr>
        <w:jc w:val="both"/>
        <w:rPr>
          <w:rFonts w:ascii="Arial" w:hAnsi="Arial" w:cs="Arial"/>
        </w:rPr>
      </w:pPr>
      <w:bookmarkStart w:id="4" w:name="_Hlk55395783"/>
      <w:r>
        <w:rPr>
          <w:rFonts w:ascii="Arial" w:hAnsi="Arial" w:cs="Arial"/>
        </w:rPr>
        <w:t>Conforme a la nueva información remitida por los operadores,</w:t>
      </w:r>
      <w:bookmarkEnd w:id="4"/>
      <w:r>
        <w:rPr>
          <w:rFonts w:ascii="Arial" w:hAnsi="Arial" w:cs="Arial"/>
        </w:rPr>
        <w:t xml:space="preserve"> e</w:t>
      </w:r>
      <w:r w:rsidRPr="00626638">
        <w:rPr>
          <w:rFonts w:ascii="Arial" w:hAnsi="Arial" w:cs="Arial"/>
        </w:rPr>
        <w:t xml:space="preserve">l GTS </w:t>
      </w:r>
      <w:r>
        <w:rPr>
          <w:rFonts w:ascii="Arial" w:hAnsi="Arial" w:cs="Arial"/>
        </w:rPr>
        <w:t xml:space="preserve">concluye </w:t>
      </w:r>
      <w:bookmarkStart w:id="5" w:name="_Hlk55395792"/>
      <w:r>
        <w:rPr>
          <w:rFonts w:ascii="Arial" w:hAnsi="Arial" w:cs="Arial"/>
        </w:rPr>
        <w:t xml:space="preserve">en su informe </w:t>
      </w:r>
      <w:bookmarkEnd w:id="5"/>
      <w:r>
        <w:rPr>
          <w:rFonts w:ascii="Arial" w:hAnsi="Arial" w:cs="Arial"/>
        </w:rPr>
        <w:t xml:space="preserve">que </w:t>
      </w:r>
      <w:r w:rsidRPr="00626638">
        <w:rPr>
          <w:rFonts w:ascii="Arial" w:hAnsi="Arial" w:cs="Arial"/>
        </w:rPr>
        <w:t xml:space="preserve">no </w:t>
      </w:r>
      <w:r>
        <w:rPr>
          <w:rFonts w:ascii="Arial" w:hAnsi="Arial" w:cs="Arial"/>
        </w:rPr>
        <w:t xml:space="preserve">es posible justificar una relación directa entre el sentido de los signos de las </w:t>
      </w:r>
      <w:r w:rsidRPr="00626638">
        <w:rPr>
          <w:rFonts w:ascii="Arial" w:hAnsi="Arial" w:cs="Arial"/>
        </w:rPr>
        <w:t xml:space="preserve">mermas reales en plantas de regasificación </w:t>
      </w:r>
      <w:r>
        <w:rPr>
          <w:rFonts w:ascii="Arial" w:hAnsi="Arial" w:cs="Arial"/>
        </w:rPr>
        <w:t xml:space="preserve">y </w:t>
      </w:r>
      <w:r w:rsidRPr="00626638">
        <w:rPr>
          <w:rFonts w:ascii="Arial" w:hAnsi="Arial" w:cs="Arial"/>
        </w:rPr>
        <w:t>las mermas reales en la red de transporte.</w:t>
      </w:r>
    </w:p>
    <w:p w14:paraId="4689A26B" w14:textId="77777777" w:rsidR="00406A97" w:rsidRDefault="00406A97" w:rsidP="00406A97">
      <w:pPr>
        <w:jc w:val="both"/>
        <w:rPr>
          <w:rFonts w:ascii="Arial" w:hAnsi="Arial" w:cs="Arial"/>
        </w:rPr>
      </w:pPr>
    </w:p>
    <w:p w14:paraId="2928CE05" w14:textId="77777777" w:rsidR="00406A97" w:rsidRDefault="00406A97" w:rsidP="00406A97">
      <w:pPr>
        <w:jc w:val="both"/>
        <w:rPr>
          <w:rFonts w:ascii="Arial" w:hAnsi="Arial" w:cs="Arial"/>
        </w:rPr>
      </w:pPr>
      <w:r>
        <w:rPr>
          <w:rFonts w:ascii="Arial" w:hAnsi="Arial" w:cs="Arial"/>
        </w:rPr>
        <w:t>A la vista de este nuevo informe del GTS, sería recomendable analizar la conveniencia de incrementar la frecuencia de las verificaciones metrológicas de las instalaciones gasistas, modificando para ello la normativa que sea necesaria, así como establecer protocolos de medición del gas que circula por las instalaciones coherentes entre los distintos tipos de infraestructuras conectadas entre sí, como son las plantas de regasificación y las redes de transporte.</w:t>
      </w:r>
    </w:p>
    <w:p w14:paraId="1D7465EB" w14:textId="77777777" w:rsidR="00406A97" w:rsidRDefault="00406A97" w:rsidP="00406A97">
      <w:pPr>
        <w:jc w:val="both"/>
        <w:rPr>
          <w:rFonts w:ascii="Arial" w:hAnsi="Arial" w:cs="Arial"/>
        </w:rPr>
      </w:pPr>
      <w:bookmarkStart w:id="6" w:name="_Hlk55395803"/>
    </w:p>
    <w:p w14:paraId="1576A285" w14:textId="77777777" w:rsidR="00406A97" w:rsidRDefault="00406A97" w:rsidP="00406A97">
      <w:pPr>
        <w:jc w:val="both"/>
        <w:rPr>
          <w:rFonts w:ascii="Arial" w:hAnsi="Arial" w:cs="Arial"/>
        </w:rPr>
      </w:pPr>
      <w:r>
        <w:rPr>
          <w:rFonts w:ascii="Arial" w:hAnsi="Arial" w:cs="Arial"/>
        </w:rPr>
        <w:t xml:space="preserve">Asimismo, es necesario supervisar lo que ocurre con las mermas en ese tramo de gasoducto, solicitando, a los operadores de las instalaciones gasistas situadas en las posiciones de entrada y salida de gas del tramo de gasoducto </w:t>
      </w:r>
      <w:proofErr w:type="spellStart"/>
      <w:r>
        <w:rPr>
          <w:rFonts w:ascii="Arial" w:hAnsi="Arial" w:cs="Arial"/>
        </w:rPr>
        <w:t>Treto</w:t>
      </w:r>
      <w:proofErr w:type="spellEnd"/>
      <w:r>
        <w:rPr>
          <w:rFonts w:ascii="Arial" w:hAnsi="Arial" w:cs="Arial"/>
        </w:rPr>
        <w:t>-Bilbao-</w:t>
      </w:r>
      <w:proofErr w:type="spellStart"/>
      <w:r>
        <w:rPr>
          <w:rFonts w:ascii="Arial" w:hAnsi="Arial" w:cs="Arial"/>
        </w:rPr>
        <w:t>Arrigorriaga</w:t>
      </w:r>
      <w:proofErr w:type="spellEnd"/>
      <w:r>
        <w:rPr>
          <w:rFonts w:ascii="Arial" w:hAnsi="Arial" w:cs="Arial"/>
        </w:rPr>
        <w:t xml:space="preserve">, las actas de las tres últimas verificaciones de las unidades de medida correspondientes a dichas posiciones y de las verificaciones y comprobaciones que se produzcan a los próximos meses. </w:t>
      </w:r>
      <w:bookmarkEnd w:id="6"/>
    </w:p>
    <w:p w14:paraId="034579FF" w14:textId="77777777" w:rsidR="00406A97" w:rsidRDefault="00406A97" w:rsidP="00406A97">
      <w:pPr>
        <w:jc w:val="both"/>
        <w:rPr>
          <w:rFonts w:ascii="Arial" w:hAnsi="Arial" w:cs="Arial"/>
        </w:rPr>
      </w:pPr>
    </w:p>
    <w:p w14:paraId="1B65EF86" w14:textId="77777777" w:rsidR="00406A97" w:rsidRDefault="00406A97" w:rsidP="00406A97">
      <w:pPr>
        <w:jc w:val="both"/>
        <w:rPr>
          <w:rFonts w:ascii="Arial" w:hAnsi="Arial" w:cs="Arial"/>
        </w:rPr>
      </w:pPr>
      <w:r>
        <w:rPr>
          <w:rFonts w:ascii="Arial" w:hAnsi="Arial" w:cs="Arial"/>
        </w:rPr>
        <w:t xml:space="preserve">Con independencia de lo señalado, con </w:t>
      </w:r>
      <w:r w:rsidRPr="00C85778">
        <w:rPr>
          <w:rFonts w:ascii="Arial" w:hAnsi="Arial" w:cs="Arial"/>
        </w:rPr>
        <w:t xml:space="preserve">base </w:t>
      </w:r>
      <w:r>
        <w:rPr>
          <w:rFonts w:ascii="Arial" w:hAnsi="Arial" w:cs="Arial"/>
        </w:rPr>
        <w:t>en</w:t>
      </w:r>
      <w:r w:rsidRPr="00C85778">
        <w:rPr>
          <w:rFonts w:ascii="Arial" w:hAnsi="Arial" w:cs="Arial"/>
        </w:rPr>
        <w:t xml:space="preserve"> la información del GTS, </w:t>
      </w:r>
      <w:r>
        <w:rPr>
          <w:rFonts w:ascii="Arial" w:hAnsi="Arial" w:cs="Arial"/>
        </w:rPr>
        <w:t xml:space="preserve">se </w:t>
      </w:r>
      <w:r w:rsidRPr="00C85778">
        <w:rPr>
          <w:rFonts w:ascii="Arial" w:hAnsi="Arial" w:cs="Arial"/>
        </w:rPr>
        <w:t>reproduc</w:t>
      </w:r>
      <w:r>
        <w:rPr>
          <w:rFonts w:ascii="Arial" w:hAnsi="Arial" w:cs="Arial"/>
        </w:rPr>
        <w:t>e</w:t>
      </w:r>
      <w:r w:rsidRPr="00C85778">
        <w:rPr>
          <w:rFonts w:ascii="Arial" w:hAnsi="Arial" w:cs="Arial"/>
        </w:rPr>
        <w:t xml:space="preserve"> el balance físico del gas de las redes de transporte en el periodo, determinando las mermas reales. Asimismo, permite comprobar el reparto realizado de las mermas retenidas por el transportista en base a l</w:t>
      </w:r>
      <w:r>
        <w:rPr>
          <w:rFonts w:ascii="Arial" w:hAnsi="Arial" w:cs="Arial"/>
        </w:rPr>
        <w:t>as entradas a la red de cada operador</w:t>
      </w:r>
      <w:r w:rsidRPr="00C85778">
        <w:rPr>
          <w:rFonts w:ascii="Arial" w:hAnsi="Arial" w:cs="Arial"/>
        </w:rPr>
        <w:t xml:space="preserve"> y, en consecuencia, el saldo de mermas de cada </w:t>
      </w:r>
      <w:r>
        <w:rPr>
          <w:rFonts w:ascii="Arial" w:hAnsi="Arial" w:cs="Arial"/>
        </w:rPr>
        <w:t>transportista</w:t>
      </w:r>
      <w:r w:rsidRPr="00C85778">
        <w:rPr>
          <w:rFonts w:ascii="Arial" w:hAnsi="Arial" w:cs="Arial"/>
        </w:rPr>
        <w:t xml:space="preserve"> para ese año.</w:t>
      </w:r>
    </w:p>
    <w:p w14:paraId="58C98EB6" w14:textId="77777777" w:rsidR="00B81D4F" w:rsidRPr="000F1C93" w:rsidRDefault="00B81D4F" w:rsidP="00B81D4F">
      <w:pPr>
        <w:jc w:val="both"/>
        <w:rPr>
          <w:rFonts w:ascii="Arial" w:hAnsi="Arial" w:cs="Arial"/>
        </w:rPr>
      </w:pPr>
    </w:p>
    <w:p w14:paraId="4774D474" w14:textId="46E5DE83" w:rsidR="006D305A" w:rsidRPr="000F1C93" w:rsidRDefault="00B81D4F" w:rsidP="006D305A">
      <w:pPr>
        <w:jc w:val="both"/>
        <w:rPr>
          <w:rFonts w:ascii="Arial" w:hAnsi="Arial" w:cs="Arial"/>
        </w:rPr>
      </w:pPr>
      <w:r w:rsidRPr="000F1C93">
        <w:rPr>
          <w:rFonts w:ascii="Arial" w:hAnsi="Arial" w:cs="Arial"/>
        </w:rPr>
        <w:t xml:space="preserve">Según lo establecido por el artículo </w:t>
      </w:r>
      <w:r w:rsidR="00FA366D" w:rsidRPr="000F1C93">
        <w:rPr>
          <w:rFonts w:ascii="Arial" w:hAnsi="Arial" w:cs="Arial"/>
        </w:rPr>
        <w:t>2 de la Orden ITC/1890/2010</w:t>
      </w:r>
      <w:r w:rsidRPr="000F1C93">
        <w:rPr>
          <w:rFonts w:ascii="Arial" w:hAnsi="Arial" w:cs="Arial"/>
        </w:rPr>
        <w:t>, modificado por la Orden IET/2446/2013</w:t>
      </w:r>
      <w:r w:rsidR="00FA366D" w:rsidRPr="000F1C93">
        <w:rPr>
          <w:rFonts w:ascii="Arial" w:hAnsi="Arial" w:cs="Arial"/>
        </w:rPr>
        <w:t xml:space="preserve"> e IET/2736/2015</w:t>
      </w:r>
      <w:r w:rsidRPr="000F1C93">
        <w:rPr>
          <w:rFonts w:ascii="Arial" w:hAnsi="Arial" w:cs="Arial"/>
        </w:rPr>
        <w:t xml:space="preserve">, el GTS tiene la obligación de remitir a la CNMC y a la </w:t>
      </w:r>
      <w:proofErr w:type="spellStart"/>
      <w:r w:rsidRPr="000F1C93">
        <w:rPr>
          <w:rFonts w:ascii="Arial" w:hAnsi="Arial" w:cs="Arial"/>
        </w:rPr>
        <w:t>DGPEyM</w:t>
      </w:r>
      <w:proofErr w:type="spellEnd"/>
      <w:r w:rsidRPr="000F1C93">
        <w:rPr>
          <w:rFonts w:ascii="Arial" w:hAnsi="Arial" w:cs="Arial"/>
        </w:rPr>
        <w:t xml:space="preserve">, antes del 1 de mayo de cada año, un estudio de las mermas reales, las mermas retenidas, los saldos de mermas y su asignación a los usuarios </w:t>
      </w:r>
      <w:r w:rsidR="00FA366D" w:rsidRPr="000F1C93">
        <w:rPr>
          <w:rFonts w:ascii="Arial" w:hAnsi="Arial" w:cs="Arial"/>
        </w:rPr>
        <w:t>en las plantas de regasificación durante el año anterior</w:t>
      </w:r>
      <w:r w:rsidRPr="000F1C93">
        <w:rPr>
          <w:rFonts w:ascii="Arial" w:hAnsi="Arial" w:cs="Arial"/>
        </w:rPr>
        <w:t xml:space="preserve">. </w:t>
      </w:r>
      <w:r w:rsidR="00FA366D" w:rsidRPr="000F1C93">
        <w:rPr>
          <w:rFonts w:ascii="Arial" w:hAnsi="Arial" w:cs="Arial"/>
        </w:rPr>
        <w:t>Dicho estudio cumplirá los</w:t>
      </w:r>
      <w:r w:rsidR="0017456D">
        <w:rPr>
          <w:rFonts w:ascii="Arial" w:hAnsi="Arial" w:cs="Arial"/>
        </w:rPr>
        <w:t xml:space="preserve"> requisitos establecidos en el Protocolo de D</w:t>
      </w:r>
      <w:r w:rsidR="00FA366D" w:rsidRPr="000F1C93">
        <w:rPr>
          <w:rFonts w:ascii="Arial" w:hAnsi="Arial" w:cs="Arial"/>
        </w:rPr>
        <w:t xml:space="preserve">etalle de </w:t>
      </w:r>
      <w:r w:rsidR="0086488D">
        <w:rPr>
          <w:rFonts w:ascii="Arial" w:hAnsi="Arial" w:cs="Arial"/>
        </w:rPr>
        <w:t xml:space="preserve">las </w:t>
      </w:r>
      <w:r w:rsidR="00327123">
        <w:rPr>
          <w:rFonts w:ascii="Arial" w:hAnsi="Arial" w:cs="Arial"/>
        </w:rPr>
        <w:t>NGTS</w:t>
      </w:r>
      <w:r w:rsidR="00FA366D" w:rsidRPr="000F1C93">
        <w:rPr>
          <w:rFonts w:ascii="Arial" w:hAnsi="Arial" w:cs="Arial"/>
        </w:rPr>
        <w:t xml:space="preserve"> correspondiente.</w:t>
      </w:r>
      <w:r w:rsidR="0017456D">
        <w:rPr>
          <w:rFonts w:ascii="Arial" w:hAnsi="Arial" w:cs="Arial"/>
        </w:rPr>
        <w:t xml:space="preserve"> A</w:t>
      </w:r>
      <w:r w:rsidR="006D305A" w:rsidRPr="000F1C93">
        <w:rPr>
          <w:rFonts w:ascii="Arial" w:hAnsi="Arial" w:cs="Arial"/>
        </w:rPr>
        <w:t xml:space="preserve"> este respecto, se hace notar que</w:t>
      </w:r>
      <w:r w:rsidR="0017456D">
        <w:rPr>
          <w:rFonts w:ascii="Arial" w:hAnsi="Arial" w:cs="Arial"/>
        </w:rPr>
        <w:t>,</w:t>
      </w:r>
      <w:r w:rsidR="006D305A" w:rsidRPr="000F1C93">
        <w:rPr>
          <w:rFonts w:ascii="Arial" w:hAnsi="Arial" w:cs="Arial"/>
        </w:rPr>
        <w:t xml:space="preserve"> actualmente</w:t>
      </w:r>
      <w:r w:rsidR="0017456D">
        <w:rPr>
          <w:rFonts w:ascii="Arial" w:hAnsi="Arial" w:cs="Arial"/>
        </w:rPr>
        <w:t xml:space="preserve">, el Protocolo de Detalle </w:t>
      </w:r>
      <w:r w:rsidR="0017456D" w:rsidRPr="000F1C93">
        <w:rPr>
          <w:rFonts w:ascii="Arial" w:hAnsi="Arial" w:cs="Arial"/>
        </w:rPr>
        <w:t>en relación a las mermas de regasificación</w:t>
      </w:r>
      <w:r w:rsidR="0017456D">
        <w:rPr>
          <w:rFonts w:ascii="Arial" w:hAnsi="Arial" w:cs="Arial"/>
        </w:rPr>
        <w:t>,</w:t>
      </w:r>
      <w:r w:rsidR="006D305A" w:rsidRPr="000F1C93">
        <w:rPr>
          <w:rFonts w:ascii="Arial" w:hAnsi="Arial" w:cs="Arial"/>
        </w:rPr>
        <w:t xml:space="preserve"> </w:t>
      </w:r>
      <w:r w:rsidR="0086488D">
        <w:rPr>
          <w:rFonts w:ascii="Arial" w:hAnsi="Arial" w:cs="Arial"/>
        </w:rPr>
        <w:t xml:space="preserve">el </w:t>
      </w:r>
      <w:r w:rsidR="0017456D" w:rsidRPr="000F1C93">
        <w:rPr>
          <w:rFonts w:ascii="Arial" w:hAnsi="Arial" w:cs="Arial"/>
        </w:rPr>
        <w:t>PD-</w:t>
      </w:r>
      <w:r w:rsidR="0017456D">
        <w:rPr>
          <w:rFonts w:ascii="Arial" w:hAnsi="Arial" w:cs="Arial"/>
        </w:rPr>
        <w:t>19, se encuentra aún en fase de aprobación, habiendo</w:t>
      </w:r>
      <w:r w:rsidR="00260E03">
        <w:rPr>
          <w:rFonts w:ascii="Arial" w:hAnsi="Arial" w:cs="Arial"/>
        </w:rPr>
        <w:t xml:space="preserve"> pasado</w:t>
      </w:r>
      <w:r w:rsidR="0017456D">
        <w:rPr>
          <w:rFonts w:ascii="Arial" w:hAnsi="Arial" w:cs="Arial"/>
        </w:rPr>
        <w:t xml:space="preserve"> </w:t>
      </w:r>
      <w:r w:rsidR="0017456D" w:rsidRPr="000F1C93">
        <w:rPr>
          <w:rFonts w:ascii="Arial" w:hAnsi="Arial" w:cs="Arial"/>
        </w:rPr>
        <w:t xml:space="preserve">la Propuesta de Resolución de la </w:t>
      </w:r>
      <w:proofErr w:type="spellStart"/>
      <w:r w:rsidR="0017456D" w:rsidRPr="000F1C93">
        <w:rPr>
          <w:rFonts w:ascii="Arial" w:hAnsi="Arial" w:cs="Arial"/>
        </w:rPr>
        <w:t>DGPEyM</w:t>
      </w:r>
      <w:proofErr w:type="spellEnd"/>
      <w:r w:rsidR="0017456D" w:rsidRPr="000F1C93">
        <w:rPr>
          <w:rFonts w:ascii="Arial" w:hAnsi="Arial" w:cs="Arial"/>
        </w:rPr>
        <w:t xml:space="preserve"> </w:t>
      </w:r>
      <w:r w:rsidR="006D305A" w:rsidRPr="000F1C93">
        <w:rPr>
          <w:rFonts w:ascii="Arial" w:hAnsi="Arial" w:cs="Arial"/>
        </w:rPr>
        <w:t>el trámite de</w:t>
      </w:r>
      <w:r w:rsidR="0017456D">
        <w:rPr>
          <w:rFonts w:ascii="Arial" w:hAnsi="Arial" w:cs="Arial"/>
        </w:rPr>
        <w:t xml:space="preserve"> consulta a</w:t>
      </w:r>
      <w:r w:rsidR="006D305A" w:rsidRPr="000F1C93">
        <w:rPr>
          <w:rFonts w:ascii="Arial" w:hAnsi="Arial" w:cs="Arial"/>
        </w:rPr>
        <w:t>l Consejo Consultivo de Hidrocarburos</w:t>
      </w:r>
      <w:r w:rsidR="00260E03">
        <w:rPr>
          <w:rFonts w:ascii="Arial" w:hAnsi="Arial" w:cs="Arial"/>
        </w:rPr>
        <w:t xml:space="preserve"> y recibido</w:t>
      </w:r>
      <w:r w:rsidR="0017456D">
        <w:rPr>
          <w:rFonts w:ascii="Arial" w:hAnsi="Arial" w:cs="Arial"/>
        </w:rPr>
        <w:t xml:space="preserve"> informe preceptivo de la CNMC</w:t>
      </w:r>
      <w:r w:rsidR="00260E03">
        <w:rPr>
          <w:rStyle w:val="Refdenotaalpie"/>
          <w:rFonts w:ascii="Arial" w:hAnsi="Arial" w:cs="Arial"/>
        </w:rPr>
        <w:footnoteReference w:id="1"/>
      </w:r>
      <w:r w:rsidR="0017456D">
        <w:rPr>
          <w:rFonts w:ascii="Arial" w:hAnsi="Arial" w:cs="Arial"/>
        </w:rPr>
        <w:t xml:space="preserve">. </w:t>
      </w:r>
    </w:p>
    <w:p w14:paraId="6807350A" w14:textId="77777777" w:rsidR="006A135F" w:rsidRPr="000F1C93" w:rsidRDefault="006A135F" w:rsidP="006D305A">
      <w:pPr>
        <w:jc w:val="both"/>
        <w:rPr>
          <w:rFonts w:ascii="Arial" w:hAnsi="Arial" w:cs="Arial"/>
        </w:rPr>
      </w:pPr>
    </w:p>
    <w:p w14:paraId="778AA4BC" w14:textId="60B3A445" w:rsidR="00A936AE" w:rsidRPr="000F1C93" w:rsidRDefault="00A936AE" w:rsidP="00A936AE">
      <w:pPr>
        <w:widowControl w:val="0"/>
        <w:ind w:left="567" w:hanging="567"/>
        <w:jc w:val="both"/>
        <w:rPr>
          <w:rFonts w:ascii="Arial" w:hAnsi="Arial" w:cs="Arial"/>
          <w:b/>
        </w:rPr>
      </w:pPr>
      <w:r w:rsidRPr="000F1C93">
        <w:rPr>
          <w:rFonts w:ascii="Arial" w:hAnsi="Arial" w:cs="Arial"/>
          <w:b/>
        </w:rPr>
        <w:t>4.2. Pre</w:t>
      </w:r>
      <w:r w:rsidR="00FA366D" w:rsidRPr="000F1C93">
        <w:rPr>
          <w:rFonts w:ascii="Arial" w:hAnsi="Arial" w:cs="Arial"/>
          <w:b/>
        </w:rPr>
        <w:t>cio del gas de operación en 201</w:t>
      </w:r>
      <w:r w:rsidR="00797A35">
        <w:rPr>
          <w:rFonts w:ascii="Arial" w:hAnsi="Arial" w:cs="Arial"/>
          <w:b/>
        </w:rPr>
        <w:t>9</w:t>
      </w:r>
    </w:p>
    <w:p w14:paraId="1CDEB3EA" w14:textId="77777777" w:rsidR="00A936AE" w:rsidRPr="000F1C93" w:rsidRDefault="00A936AE" w:rsidP="00A65300">
      <w:pPr>
        <w:rPr>
          <w:rFonts w:ascii="Arial" w:hAnsi="Arial" w:cs="Arial"/>
        </w:rPr>
      </w:pPr>
    </w:p>
    <w:p w14:paraId="26A8D5FA" w14:textId="77777777" w:rsidR="004C1486" w:rsidRPr="000F1C93" w:rsidRDefault="0083668A" w:rsidP="004C1486">
      <w:pPr>
        <w:jc w:val="both"/>
        <w:rPr>
          <w:rFonts w:ascii="Arial" w:hAnsi="Arial" w:cs="Arial"/>
        </w:rPr>
      </w:pPr>
      <w:r w:rsidRPr="000F1C93">
        <w:rPr>
          <w:rFonts w:ascii="Arial" w:hAnsi="Arial" w:cs="Arial"/>
        </w:rPr>
        <w:t>Según</w:t>
      </w:r>
      <w:r w:rsidR="005E4937" w:rsidRPr="000F1C93">
        <w:rPr>
          <w:rFonts w:ascii="Arial" w:hAnsi="Arial" w:cs="Arial"/>
        </w:rPr>
        <w:t xml:space="preserve"> lo dispuesto en la normativa vigente, e</w:t>
      </w:r>
      <w:r w:rsidR="004C1486" w:rsidRPr="000F1C93">
        <w:rPr>
          <w:rFonts w:ascii="Arial" w:hAnsi="Arial" w:cs="Arial"/>
        </w:rPr>
        <w:t xml:space="preserve">l GTS debe publicar en su página web el valor del precio medio del gas de operación del año al que </w:t>
      </w:r>
      <w:r w:rsidR="00712190" w:rsidRPr="000F1C93">
        <w:rPr>
          <w:rFonts w:ascii="Arial" w:hAnsi="Arial" w:cs="Arial"/>
        </w:rPr>
        <w:t>deben valorarse</w:t>
      </w:r>
      <w:r w:rsidR="004C1486" w:rsidRPr="000F1C93">
        <w:rPr>
          <w:rFonts w:ascii="Arial" w:hAnsi="Arial" w:cs="Arial"/>
        </w:rPr>
        <w:t xml:space="preserve"> los saldos de mermas. </w:t>
      </w:r>
    </w:p>
    <w:p w14:paraId="3625939D" w14:textId="77777777" w:rsidR="004C1486" w:rsidRPr="000F1C93" w:rsidRDefault="004C1486" w:rsidP="004C1486">
      <w:pPr>
        <w:jc w:val="both"/>
        <w:rPr>
          <w:rFonts w:ascii="Arial" w:hAnsi="Arial" w:cs="Arial"/>
        </w:rPr>
      </w:pPr>
    </w:p>
    <w:p w14:paraId="5A9CC5ED" w14:textId="77777777" w:rsidR="00712190" w:rsidRPr="000F1C93" w:rsidRDefault="00712190" w:rsidP="004C1486">
      <w:pPr>
        <w:jc w:val="both"/>
        <w:rPr>
          <w:rFonts w:ascii="Arial" w:hAnsi="Arial" w:cs="Arial"/>
        </w:rPr>
      </w:pPr>
      <w:r w:rsidRPr="000F1C93">
        <w:rPr>
          <w:rFonts w:ascii="Arial" w:hAnsi="Arial" w:cs="Arial"/>
        </w:rPr>
        <w:t xml:space="preserve">Para determinar este valor, debe aplicarse la disposición transitoria primera de la Orden IET/2736/2015, de 17 de diciembre, por la que se establecen los peajes y cánones asociados al acceso de terceros a las instalaciones gasistas y la retribución de las actividades reguladas para 2016, que </w:t>
      </w:r>
      <w:r w:rsidR="003909CA" w:rsidRPr="000F1C93">
        <w:rPr>
          <w:rFonts w:ascii="Arial" w:hAnsi="Arial" w:cs="Arial"/>
        </w:rPr>
        <w:t>señala</w:t>
      </w:r>
      <w:r w:rsidRPr="000F1C93">
        <w:rPr>
          <w:rFonts w:ascii="Arial" w:hAnsi="Arial" w:cs="Arial"/>
        </w:rPr>
        <w:t xml:space="preserve"> que: </w:t>
      </w:r>
    </w:p>
    <w:p w14:paraId="4B61F169" w14:textId="77777777" w:rsidR="00712190" w:rsidRPr="000F1C93" w:rsidRDefault="00712190" w:rsidP="004C1486">
      <w:pPr>
        <w:jc w:val="both"/>
        <w:rPr>
          <w:rFonts w:ascii="Arial" w:hAnsi="Arial" w:cs="Arial"/>
        </w:rPr>
      </w:pPr>
    </w:p>
    <w:p w14:paraId="07771A98" w14:textId="77777777" w:rsidR="005E4937" w:rsidRPr="000F1C93" w:rsidRDefault="00712190" w:rsidP="00DB6D41">
      <w:pPr>
        <w:ind w:left="426"/>
        <w:jc w:val="both"/>
        <w:rPr>
          <w:rFonts w:ascii="Arial" w:hAnsi="Arial" w:cs="Arial"/>
          <w:i/>
          <w:sz w:val="22"/>
          <w:szCs w:val="22"/>
        </w:rPr>
      </w:pPr>
      <w:r w:rsidRPr="000F1C93">
        <w:rPr>
          <w:rFonts w:ascii="Arial" w:hAnsi="Arial" w:cs="Arial"/>
          <w:i/>
          <w:sz w:val="22"/>
          <w:szCs w:val="22"/>
        </w:rPr>
        <w:t>“</w:t>
      </w:r>
      <w:r w:rsidR="005E4937" w:rsidRPr="000F1C93">
        <w:rPr>
          <w:rFonts w:ascii="Arial" w:hAnsi="Arial" w:cs="Arial"/>
          <w:i/>
          <w:sz w:val="22"/>
          <w:szCs w:val="22"/>
        </w:rPr>
        <w:t xml:space="preserve">Disposición transitoria primera. </w:t>
      </w:r>
      <w:r w:rsidR="005E4937" w:rsidRPr="000F1C93">
        <w:rPr>
          <w:rFonts w:ascii="Arial" w:hAnsi="Arial" w:cs="Arial"/>
          <w:i/>
          <w:iCs/>
          <w:sz w:val="22"/>
          <w:szCs w:val="22"/>
        </w:rPr>
        <w:t>Precio del gas de operación para el cálculo económico del saldo de mermas.</w:t>
      </w:r>
    </w:p>
    <w:p w14:paraId="7F43FDB3" w14:textId="77777777" w:rsidR="00712190" w:rsidRPr="000F1C93" w:rsidRDefault="00712190" w:rsidP="00DB6D41">
      <w:pPr>
        <w:ind w:left="426"/>
        <w:rPr>
          <w:rFonts w:ascii="Arial" w:hAnsi="Arial" w:cs="Arial"/>
          <w:i/>
          <w:sz w:val="22"/>
          <w:szCs w:val="22"/>
        </w:rPr>
      </w:pPr>
    </w:p>
    <w:p w14:paraId="6E68BCFA" w14:textId="77777777" w:rsidR="00712190" w:rsidRPr="000F1C93" w:rsidRDefault="00712190" w:rsidP="00DB6D41">
      <w:pPr>
        <w:ind w:left="426" w:firstLine="285"/>
        <w:jc w:val="both"/>
        <w:rPr>
          <w:rFonts w:ascii="Arial" w:hAnsi="Arial" w:cs="Arial"/>
          <w:i/>
          <w:sz w:val="22"/>
          <w:szCs w:val="22"/>
        </w:rPr>
      </w:pPr>
      <w:r w:rsidRPr="000F1C93">
        <w:rPr>
          <w:rFonts w:ascii="Arial" w:hAnsi="Arial" w:cs="Arial"/>
          <w:i/>
          <w:sz w:val="22"/>
          <w:szCs w:val="22"/>
        </w:rPr>
        <w:t>1. A efectos del cálculo de los mecanismos de incentivo a la reducción de las mermas en redes de distribución, redes de transporte y plantas de regasificación, durante el periodo comprendido entre el 1 de octubre de 2015 y hasta que se proceda a adquirir dicho gas en el mercado organizado, como precio del gas de operación se aplicará el que resulte de la aplicación de la fórmula incluida en el apartado segundo del anexo II de la Resolución de 8 de mayo de 2015 de la Dirección General de Política Energética y Minas, por la que se establecen las reglas operativas de la subasta para la adquisición del gas de operación y del gas talón para el período comprendido entre el 1 de julio y el 30 de septiembre de 2015.</w:t>
      </w:r>
    </w:p>
    <w:p w14:paraId="4326B3E3" w14:textId="77777777" w:rsidR="00712190" w:rsidRPr="000F1C93" w:rsidRDefault="00712190" w:rsidP="00DB6D41">
      <w:pPr>
        <w:ind w:left="426"/>
        <w:rPr>
          <w:rFonts w:ascii="Arial" w:hAnsi="Arial" w:cs="Arial"/>
          <w:i/>
          <w:sz w:val="22"/>
          <w:szCs w:val="22"/>
        </w:rPr>
      </w:pPr>
    </w:p>
    <w:p w14:paraId="3ECFE90D" w14:textId="77777777" w:rsidR="005E4937" w:rsidRPr="000F1C93" w:rsidRDefault="005E4937" w:rsidP="00DB6D41">
      <w:pPr>
        <w:ind w:left="426" w:firstLine="285"/>
        <w:jc w:val="both"/>
        <w:rPr>
          <w:rFonts w:ascii="Arial" w:hAnsi="Arial" w:cs="Arial"/>
          <w:i/>
          <w:sz w:val="22"/>
          <w:szCs w:val="22"/>
        </w:rPr>
      </w:pPr>
      <w:r w:rsidRPr="000F1C93">
        <w:rPr>
          <w:rFonts w:ascii="Arial" w:hAnsi="Arial" w:cs="Arial"/>
          <w:i/>
          <w:sz w:val="22"/>
          <w:szCs w:val="22"/>
        </w:rPr>
        <w:t>2. A partir de la fecha en la que el Gestor Técnico del Sistema proceda a realizar las adquisiciones de gas de operación en el Mercado Organizado de gas natural, como precio medio de gas de operación y, a los efectos mencionados en el apartado 1, se tomará la media ponderada de las adquisiciones de gas de operación realizadas en dicho mercado organizado.</w:t>
      </w:r>
      <w:r w:rsidR="00DB6D41" w:rsidRPr="000F1C93">
        <w:rPr>
          <w:rFonts w:ascii="Arial" w:hAnsi="Arial" w:cs="Arial"/>
          <w:i/>
          <w:sz w:val="22"/>
          <w:szCs w:val="22"/>
        </w:rPr>
        <w:t>”</w:t>
      </w:r>
    </w:p>
    <w:p w14:paraId="492C6C8B" w14:textId="77777777" w:rsidR="00CA1502" w:rsidRDefault="00CA1502" w:rsidP="00712190">
      <w:pPr>
        <w:autoSpaceDE w:val="0"/>
        <w:autoSpaceDN w:val="0"/>
        <w:adjustRightInd w:val="0"/>
        <w:jc w:val="both"/>
        <w:rPr>
          <w:rFonts w:ascii="Arial" w:hAnsi="Arial" w:cs="Arial"/>
        </w:rPr>
      </w:pPr>
    </w:p>
    <w:p w14:paraId="484CDBA6" w14:textId="31A20244" w:rsidR="00712190" w:rsidRPr="000F1C93" w:rsidRDefault="003909CA" w:rsidP="00712190">
      <w:pPr>
        <w:autoSpaceDE w:val="0"/>
        <w:autoSpaceDN w:val="0"/>
        <w:adjustRightInd w:val="0"/>
        <w:jc w:val="both"/>
        <w:rPr>
          <w:rFonts w:ascii="Arial" w:hAnsi="Arial" w:cs="Arial"/>
        </w:rPr>
      </w:pPr>
      <w:r w:rsidRPr="000F1C93">
        <w:rPr>
          <w:rFonts w:ascii="Arial" w:hAnsi="Arial" w:cs="Arial"/>
        </w:rPr>
        <w:t>En cumplimiento de</w:t>
      </w:r>
      <w:r w:rsidR="00712190" w:rsidRPr="000F1C93">
        <w:rPr>
          <w:rFonts w:ascii="Arial" w:hAnsi="Arial" w:cs="Arial"/>
        </w:rPr>
        <w:t xml:space="preserve"> la Resolución de la </w:t>
      </w:r>
      <w:r w:rsidRPr="000F1C93">
        <w:rPr>
          <w:rFonts w:ascii="Arial" w:hAnsi="Arial" w:cs="Arial"/>
        </w:rPr>
        <w:t>Secretaría de Estado de Energía,</w:t>
      </w:r>
      <w:r w:rsidR="00712190" w:rsidRPr="000F1C93">
        <w:rPr>
          <w:rFonts w:ascii="Arial" w:hAnsi="Arial" w:cs="Arial"/>
        </w:rPr>
        <w:t xml:space="preserve"> </w:t>
      </w:r>
      <w:r w:rsidRPr="000F1C93">
        <w:rPr>
          <w:rFonts w:ascii="Arial" w:hAnsi="Arial" w:cs="Arial"/>
        </w:rPr>
        <w:t xml:space="preserve">de 23 de diciembre de 2015, </w:t>
      </w:r>
      <w:r w:rsidR="00712190" w:rsidRPr="000F1C93">
        <w:rPr>
          <w:rFonts w:ascii="Arial" w:hAnsi="Arial" w:cs="Arial"/>
        </w:rPr>
        <w:t xml:space="preserve">por la que se desarrolla el procedimiento de adquisición de gas de operación, </w:t>
      </w:r>
      <w:r w:rsidR="005F63D3" w:rsidRPr="000F1C93">
        <w:rPr>
          <w:rFonts w:ascii="Arial" w:hAnsi="Arial" w:cs="Arial"/>
        </w:rPr>
        <w:t xml:space="preserve">en el año </w:t>
      </w:r>
      <w:r w:rsidR="000E7F46">
        <w:rPr>
          <w:rFonts w:ascii="Arial" w:hAnsi="Arial" w:cs="Arial"/>
        </w:rPr>
        <w:t>201</w:t>
      </w:r>
      <w:r w:rsidR="008A6BA4">
        <w:rPr>
          <w:rFonts w:ascii="Arial" w:hAnsi="Arial" w:cs="Arial"/>
        </w:rPr>
        <w:t>9</w:t>
      </w:r>
      <w:r w:rsidR="005F63D3" w:rsidRPr="000F1C93">
        <w:rPr>
          <w:rFonts w:ascii="Arial" w:hAnsi="Arial" w:cs="Arial"/>
        </w:rPr>
        <w:t xml:space="preserve"> </w:t>
      </w:r>
      <w:r w:rsidR="00712190" w:rsidRPr="000F1C93">
        <w:rPr>
          <w:rFonts w:ascii="Arial" w:hAnsi="Arial" w:cs="Arial"/>
        </w:rPr>
        <w:t xml:space="preserve">el GTS </w:t>
      </w:r>
      <w:r w:rsidR="006D305A" w:rsidRPr="000F1C93">
        <w:rPr>
          <w:rFonts w:ascii="Arial" w:hAnsi="Arial" w:cs="Arial"/>
        </w:rPr>
        <w:t>realizó</w:t>
      </w:r>
      <w:r w:rsidR="005F63D3" w:rsidRPr="000F1C93">
        <w:rPr>
          <w:rFonts w:ascii="Arial" w:hAnsi="Arial" w:cs="Arial"/>
        </w:rPr>
        <w:t xml:space="preserve"> la </w:t>
      </w:r>
      <w:r w:rsidR="005F53AA" w:rsidRPr="000F1C93">
        <w:rPr>
          <w:rFonts w:ascii="Arial" w:hAnsi="Arial" w:cs="Arial"/>
        </w:rPr>
        <w:t>adquisición de</w:t>
      </w:r>
      <w:r w:rsidRPr="000F1C93">
        <w:rPr>
          <w:rFonts w:ascii="Arial" w:hAnsi="Arial" w:cs="Arial"/>
        </w:rPr>
        <w:t>l</w:t>
      </w:r>
      <w:r w:rsidR="005F53AA" w:rsidRPr="000F1C93">
        <w:rPr>
          <w:rFonts w:ascii="Arial" w:hAnsi="Arial" w:cs="Arial"/>
        </w:rPr>
        <w:t xml:space="preserve"> gas de operación en </w:t>
      </w:r>
      <w:r w:rsidRPr="000F1C93">
        <w:rPr>
          <w:rFonts w:ascii="Arial" w:hAnsi="Arial" w:cs="Arial"/>
        </w:rPr>
        <w:t>la plataforma del mercado organizado (</w:t>
      </w:r>
      <w:r w:rsidR="005F53AA" w:rsidRPr="000F1C93">
        <w:rPr>
          <w:rFonts w:ascii="Arial" w:hAnsi="Arial" w:cs="Arial"/>
        </w:rPr>
        <w:t>MIBGAS</w:t>
      </w:r>
      <w:r w:rsidRPr="000F1C93">
        <w:rPr>
          <w:rFonts w:ascii="Arial" w:hAnsi="Arial" w:cs="Arial"/>
        </w:rPr>
        <w:t>)</w:t>
      </w:r>
      <w:r w:rsidR="00712190" w:rsidRPr="000F1C93">
        <w:rPr>
          <w:rFonts w:ascii="Arial" w:hAnsi="Arial" w:cs="Arial"/>
        </w:rPr>
        <w:t xml:space="preserve"> en la subasta de apertura de la sesión </w:t>
      </w:r>
      <w:r w:rsidR="005F53AA" w:rsidRPr="000F1C93">
        <w:rPr>
          <w:rFonts w:ascii="Arial" w:hAnsi="Arial" w:cs="Arial"/>
        </w:rPr>
        <w:t>de negociación del</w:t>
      </w:r>
      <w:r w:rsidR="004C1486" w:rsidRPr="000F1C93">
        <w:rPr>
          <w:rFonts w:ascii="Arial" w:hAnsi="Arial" w:cs="Arial"/>
        </w:rPr>
        <w:t xml:space="preserve"> </w:t>
      </w:r>
      <w:r w:rsidR="005F53AA" w:rsidRPr="000F1C93">
        <w:rPr>
          <w:rFonts w:ascii="Arial" w:hAnsi="Arial" w:cs="Arial"/>
        </w:rPr>
        <w:t>producto con entrega física el día siguiente</w:t>
      </w:r>
      <w:r w:rsidR="00712190" w:rsidRPr="000F1C93">
        <w:rPr>
          <w:rFonts w:ascii="Arial" w:hAnsi="Arial" w:cs="Arial"/>
        </w:rPr>
        <w:t xml:space="preserve">, mediante la compra de </w:t>
      </w:r>
      <w:r w:rsidR="005F53AA" w:rsidRPr="000F1C93">
        <w:rPr>
          <w:rFonts w:ascii="Arial" w:hAnsi="Arial" w:cs="Arial"/>
        </w:rPr>
        <w:t>producto</w:t>
      </w:r>
      <w:r w:rsidR="00712190" w:rsidRPr="000F1C93">
        <w:rPr>
          <w:rFonts w:ascii="Arial" w:hAnsi="Arial" w:cs="Arial"/>
        </w:rPr>
        <w:t>s</w:t>
      </w:r>
      <w:r w:rsidR="005F53AA" w:rsidRPr="000F1C93">
        <w:rPr>
          <w:rFonts w:ascii="Arial" w:hAnsi="Arial" w:cs="Arial"/>
        </w:rPr>
        <w:t xml:space="preserve"> normalizado</w:t>
      </w:r>
      <w:r w:rsidR="00712190" w:rsidRPr="000F1C93">
        <w:rPr>
          <w:rFonts w:ascii="Arial" w:hAnsi="Arial" w:cs="Arial"/>
        </w:rPr>
        <w:t>s</w:t>
      </w:r>
      <w:r w:rsidR="005F53AA" w:rsidRPr="000F1C93">
        <w:rPr>
          <w:rFonts w:ascii="Arial" w:hAnsi="Arial" w:cs="Arial"/>
        </w:rPr>
        <w:t xml:space="preserve"> de transferencia de</w:t>
      </w:r>
      <w:r w:rsidR="00712190" w:rsidRPr="000F1C93">
        <w:rPr>
          <w:rFonts w:ascii="Arial" w:hAnsi="Arial" w:cs="Arial"/>
        </w:rPr>
        <w:t xml:space="preserve"> </w:t>
      </w:r>
      <w:r w:rsidR="005F53AA" w:rsidRPr="000F1C93">
        <w:rPr>
          <w:rFonts w:ascii="Arial" w:hAnsi="Arial" w:cs="Arial"/>
        </w:rPr>
        <w:t>titularidad del gas en el Punto Virtual de Balance</w:t>
      </w:r>
      <w:r w:rsidR="00712190" w:rsidRPr="000F1C93">
        <w:rPr>
          <w:rFonts w:ascii="Arial" w:hAnsi="Arial" w:cs="Arial"/>
        </w:rPr>
        <w:t xml:space="preserve"> (</w:t>
      </w:r>
      <w:r w:rsidR="00FD0179">
        <w:rPr>
          <w:rFonts w:ascii="Arial" w:hAnsi="Arial" w:cs="Arial"/>
        </w:rPr>
        <w:t xml:space="preserve">en adelante, </w:t>
      </w:r>
      <w:r w:rsidR="00712190" w:rsidRPr="000F1C93">
        <w:rPr>
          <w:rFonts w:ascii="Arial" w:hAnsi="Arial" w:cs="Arial"/>
        </w:rPr>
        <w:t>PVB).</w:t>
      </w:r>
    </w:p>
    <w:p w14:paraId="47935043" w14:textId="77777777" w:rsidR="00A936AE" w:rsidRPr="000F1C93" w:rsidRDefault="00A936AE" w:rsidP="00712190">
      <w:pPr>
        <w:autoSpaceDE w:val="0"/>
        <w:autoSpaceDN w:val="0"/>
        <w:adjustRightInd w:val="0"/>
        <w:jc w:val="both"/>
        <w:rPr>
          <w:rFonts w:ascii="Arial" w:hAnsi="Arial" w:cs="Arial"/>
        </w:rPr>
      </w:pPr>
    </w:p>
    <w:p w14:paraId="797AF5D3" w14:textId="713FF95A" w:rsidR="00A936AE" w:rsidRPr="00884165" w:rsidRDefault="003909CA" w:rsidP="00712190">
      <w:pPr>
        <w:autoSpaceDE w:val="0"/>
        <w:autoSpaceDN w:val="0"/>
        <w:adjustRightInd w:val="0"/>
        <w:jc w:val="both"/>
        <w:rPr>
          <w:rFonts w:ascii="Arial" w:hAnsi="Arial" w:cs="Arial"/>
        </w:rPr>
      </w:pPr>
      <w:r w:rsidRPr="000F1C93">
        <w:rPr>
          <w:rFonts w:ascii="Arial" w:hAnsi="Arial" w:cs="Arial"/>
        </w:rPr>
        <w:t>Por consiguiente, en lo q</w:t>
      </w:r>
      <w:r w:rsidR="00926C2F" w:rsidRPr="000F1C93">
        <w:rPr>
          <w:rFonts w:ascii="Arial" w:hAnsi="Arial" w:cs="Arial"/>
        </w:rPr>
        <w:t xml:space="preserve">ue se refiere al precio </w:t>
      </w:r>
      <w:r w:rsidR="00926C2F" w:rsidRPr="00884165">
        <w:rPr>
          <w:rFonts w:ascii="Arial" w:hAnsi="Arial" w:cs="Arial"/>
        </w:rPr>
        <w:t xml:space="preserve">del gas de operación </w:t>
      </w:r>
      <w:r w:rsidR="0083668A" w:rsidRPr="00884165">
        <w:rPr>
          <w:rFonts w:ascii="Arial" w:hAnsi="Arial" w:cs="Arial"/>
        </w:rPr>
        <w:t>en 201</w:t>
      </w:r>
      <w:r w:rsidR="00834E69" w:rsidRPr="00884165">
        <w:rPr>
          <w:rFonts w:ascii="Arial" w:hAnsi="Arial" w:cs="Arial"/>
        </w:rPr>
        <w:t>9</w:t>
      </w:r>
      <w:r w:rsidR="0083668A" w:rsidRPr="00884165">
        <w:rPr>
          <w:rFonts w:ascii="Arial" w:hAnsi="Arial" w:cs="Arial"/>
        </w:rPr>
        <w:t xml:space="preserve"> </w:t>
      </w:r>
      <w:r w:rsidR="00926C2F" w:rsidRPr="00884165">
        <w:rPr>
          <w:rFonts w:ascii="Arial" w:hAnsi="Arial" w:cs="Arial"/>
        </w:rPr>
        <w:t xml:space="preserve">para valorar </w:t>
      </w:r>
      <w:r w:rsidR="0083668A" w:rsidRPr="00884165">
        <w:rPr>
          <w:rFonts w:ascii="Arial" w:hAnsi="Arial" w:cs="Arial"/>
        </w:rPr>
        <w:t xml:space="preserve">los saldos de mermas en </w:t>
      </w:r>
      <w:r w:rsidR="005F63D3" w:rsidRPr="00884165">
        <w:rPr>
          <w:rFonts w:ascii="Arial" w:hAnsi="Arial" w:cs="Arial"/>
        </w:rPr>
        <w:t xml:space="preserve">regasificación, </w:t>
      </w:r>
      <w:r w:rsidR="000F1C93" w:rsidRPr="00884165">
        <w:rPr>
          <w:rFonts w:ascii="Arial" w:hAnsi="Arial" w:cs="Arial"/>
        </w:rPr>
        <w:t xml:space="preserve">en fecha </w:t>
      </w:r>
      <w:r w:rsidR="00834E69" w:rsidRPr="00884165">
        <w:rPr>
          <w:rFonts w:ascii="Arial" w:hAnsi="Arial" w:cs="Arial"/>
        </w:rPr>
        <w:t>13</w:t>
      </w:r>
      <w:r w:rsidR="00363F97" w:rsidRPr="00884165">
        <w:rPr>
          <w:rFonts w:ascii="Arial" w:hAnsi="Arial" w:cs="Arial"/>
        </w:rPr>
        <w:t xml:space="preserve"> de </w:t>
      </w:r>
      <w:r w:rsidR="005F63D3" w:rsidRPr="00884165">
        <w:rPr>
          <w:rFonts w:ascii="Arial" w:hAnsi="Arial" w:cs="Arial"/>
        </w:rPr>
        <w:t>enero</w:t>
      </w:r>
      <w:r w:rsidR="00363F97" w:rsidRPr="00884165">
        <w:rPr>
          <w:rFonts w:ascii="Arial" w:hAnsi="Arial" w:cs="Arial"/>
        </w:rPr>
        <w:t xml:space="preserve"> de 20</w:t>
      </w:r>
      <w:r w:rsidR="00834E69" w:rsidRPr="00884165">
        <w:rPr>
          <w:rFonts w:ascii="Arial" w:hAnsi="Arial" w:cs="Arial"/>
        </w:rPr>
        <w:t>20</w:t>
      </w:r>
      <w:r w:rsidR="007C4D18" w:rsidRPr="00884165">
        <w:rPr>
          <w:rFonts w:ascii="Arial" w:hAnsi="Arial" w:cs="Arial"/>
        </w:rPr>
        <w:t>, el GTS publicó</w:t>
      </w:r>
      <w:r w:rsidR="001270F1" w:rsidRPr="00884165">
        <w:rPr>
          <w:rFonts w:ascii="Arial" w:hAnsi="Arial" w:cs="Arial"/>
        </w:rPr>
        <w:t xml:space="preserve"> la información indicada en la Figura </w:t>
      </w:r>
      <w:r w:rsidR="005E3095">
        <w:rPr>
          <w:rFonts w:ascii="Arial" w:hAnsi="Arial" w:cs="Arial"/>
        </w:rPr>
        <w:t>3</w:t>
      </w:r>
      <w:r w:rsidR="00D41902" w:rsidRPr="00884165">
        <w:rPr>
          <w:rStyle w:val="Refdenotaalpie"/>
          <w:rFonts w:ascii="Arial" w:hAnsi="Arial" w:cs="Arial"/>
        </w:rPr>
        <w:footnoteReference w:id="2"/>
      </w:r>
      <w:r w:rsidR="001270F1" w:rsidRPr="00884165">
        <w:rPr>
          <w:rFonts w:ascii="Arial" w:hAnsi="Arial" w:cs="Arial"/>
        </w:rPr>
        <w:t>:</w:t>
      </w:r>
    </w:p>
    <w:p w14:paraId="7D359789" w14:textId="1B01F827" w:rsidR="001270F1" w:rsidRPr="00884165" w:rsidRDefault="001270F1" w:rsidP="00712190">
      <w:pPr>
        <w:autoSpaceDE w:val="0"/>
        <w:autoSpaceDN w:val="0"/>
        <w:adjustRightInd w:val="0"/>
        <w:jc w:val="both"/>
        <w:rPr>
          <w:rFonts w:ascii="Arial" w:hAnsi="Arial" w:cs="Arial"/>
        </w:rPr>
      </w:pPr>
    </w:p>
    <w:p w14:paraId="44898C3E" w14:textId="3E4DDDF8" w:rsidR="00266A72" w:rsidRPr="00884165" w:rsidRDefault="00884165" w:rsidP="00884165">
      <w:pPr>
        <w:autoSpaceDE w:val="0"/>
        <w:autoSpaceDN w:val="0"/>
        <w:adjustRightInd w:val="0"/>
        <w:jc w:val="center"/>
        <w:rPr>
          <w:rFonts w:ascii="Arial" w:hAnsi="Arial" w:cs="Arial"/>
        </w:rPr>
      </w:pPr>
      <w:r w:rsidRPr="00884165">
        <w:rPr>
          <w:noProof/>
          <w:bdr w:val="single" w:sz="4" w:space="0" w:color="auto"/>
        </w:rPr>
        <w:drawing>
          <wp:inline distT="0" distB="0" distL="0" distR="0" wp14:anchorId="7CD0E9D7" wp14:editId="56C3EC9E">
            <wp:extent cx="5490210" cy="1582369"/>
            <wp:effectExtent l="19050" t="19050" r="15240" b="184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303" t="47114" r="19162" b="18777"/>
                    <a:stretch/>
                  </pic:blipFill>
                  <pic:spPr bwMode="auto">
                    <a:xfrm>
                      <a:off x="0" y="0"/>
                      <a:ext cx="5490210" cy="158236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7C4D18" w:rsidRPr="00884165">
        <w:rPr>
          <w:rFonts w:ascii="Arial" w:hAnsi="Arial" w:cs="Arial"/>
          <w:sz w:val="20"/>
          <w:szCs w:val="20"/>
        </w:rPr>
        <w:t xml:space="preserve">Figura </w:t>
      </w:r>
      <w:r w:rsidR="009E0541">
        <w:rPr>
          <w:rFonts w:ascii="Arial" w:hAnsi="Arial" w:cs="Arial"/>
          <w:sz w:val="20"/>
          <w:szCs w:val="20"/>
        </w:rPr>
        <w:t>3</w:t>
      </w:r>
      <w:r w:rsidR="007C4D18" w:rsidRPr="00884165">
        <w:rPr>
          <w:rFonts w:ascii="Arial" w:hAnsi="Arial" w:cs="Arial"/>
          <w:sz w:val="20"/>
          <w:szCs w:val="20"/>
        </w:rPr>
        <w:t xml:space="preserve">: Precio del gas de operación </w:t>
      </w:r>
      <w:r w:rsidR="00B5593D" w:rsidRPr="00884165">
        <w:rPr>
          <w:rFonts w:ascii="Arial" w:hAnsi="Arial" w:cs="Arial"/>
          <w:sz w:val="20"/>
          <w:szCs w:val="20"/>
        </w:rPr>
        <w:t>(en €/</w:t>
      </w:r>
      <w:proofErr w:type="spellStart"/>
      <w:r w:rsidR="00B5593D" w:rsidRPr="00884165">
        <w:rPr>
          <w:rFonts w:ascii="Arial" w:hAnsi="Arial" w:cs="Arial"/>
          <w:sz w:val="20"/>
          <w:szCs w:val="20"/>
        </w:rPr>
        <w:t>MWh</w:t>
      </w:r>
      <w:proofErr w:type="spellEnd"/>
      <w:r w:rsidR="00B5593D" w:rsidRPr="00884165">
        <w:rPr>
          <w:rFonts w:ascii="Arial" w:hAnsi="Arial" w:cs="Arial"/>
          <w:sz w:val="20"/>
          <w:szCs w:val="20"/>
        </w:rPr>
        <w:t>)</w:t>
      </w:r>
      <w:r w:rsidR="006268AD" w:rsidRPr="00884165">
        <w:rPr>
          <w:rFonts w:ascii="Arial" w:hAnsi="Arial" w:cs="Arial"/>
          <w:sz w:val="20"/>
          <w:szCs w:val="20"/>
        </w:rPr>
        <w:t xml:space="preserve"> </w:t>
      </w:r>
      <w:r w:rsidR="007C4D18" w:rsidRPr="00884165">
        <w:rPr>
          <w:rFonts w:ascii="Arial" w:hAnsi="Arial" w:cs="Arial"/>
          <w:sz w:val="20"/>
          <w:szCs w:val="20"/>
        </w:rPr>
        <w:t>para la valoración económica</w:t>
      </w:r>
      <w:r w:rsidR="00195454" w:rsidRPr="00884165">
        <w:rPr>
          <w:rFonts w:ascii="Arial" w:hAnsi="Arial" w:cs="Arial"/>
          <w:sz w:val="20"/>
          <w:szCs w:val="20"/>
        </w:rPr>
        <w:t xml:space="preserve"> de los saldos de </w:t>
      </w:r>
      <w:r w:rsidR="000F1C93" w:rsidRPr="00884165">
        <w:rPr>
          <w:rFonts w:ascii="Arial" w:hAnsi="Arial" w:cs="Arial"/>
          <w:sz w:val="20"/>
          <w:szCs w:val="20"/>
        </w:rPr>
        <w:t>mermas en 201</w:t>
      </w:r>
      <w:r w:rsidR="00834E69" w:rsidRPr="00884165">
        <w:rPr>
          <w:rFonts w:ascii="Arial" w:hAnsi="Arial" w:cs="Arial"/>
          <w:sz w:val="20"/>
          <w:szCs w:val="20"/>
        </w:rPr>
        <w:t>9</w:t>
      </w:r>
      <w:r w:rsidR="000F1C93" w:rsidRPr="00884165">
        <w:rPr>
          <w:rFonts w:ascii="Arial" w:hAnsi="Arial" w:cs="Arial"/>
          <w:sz w:val="20"/>
          <w:szCs w:val="20"/>
        </w:rPr>
        <w:t xml:space="preserve"> </w:t>
      </w:r>
      <w:r w:rsidR="007C4D18" w:rsidRPr="00884165">
        <w:rPr>
          <w:rFonts w:ascii="Arial" w:hAnsi="Arial" w:cs="Arial"/>
          <w:sz w:val="20"/>
          <w:szCs w:val="20"/>
        </w:rPr>
        <w:t>publicado por el GTS en su página web.</w:t>
      </w:r>
    </w:p>
    <w:p w14:paraId="6BD5F592" w14:textId="77777777" w:rsidR="004308F0" w:rsidRPr="00884165" w:rsidRDefault="004308F0" w:rsidP="00A65300">
      <w:pPr>
        <w:rPr>
          <w:rFonts w:ascii="Arial" w:hAnsi="Arial" w:cs="Arial"/>
        </w:rPr>
      </w:pPr>
    </w:p>
    <w:p w14:paraId="0A3AD415" w14:textId="5F3B51F8" w:rsidR="007C4D18" w:rsidRPr="00884165" w:rsidRDefault="00E56669" w:rsidP="007C4D18">
      <w:pPr>
        <w:autoSpaceDE w:val="0"/>
        <w:autoSpaceDN w:val="0"/>
        <w:adjustRightInd w:val="0"/>
        <w:jc w:val="both"/>
        <w:rPr>
          <w:rFonts w:ascii="Arial" w:hAnsi="Arial" w:cs="Arial"/>
        </w:rPr>
      </w:pPr>
      <w:r w:rsidRPr="00884165">
        <w:rPr>
          <w:rFonts w:ascii="Arial" w:hAnsi="Arial" w:cs="Arial"/>
        </w:rPr>
        <w:t>Así</w:t>
      </w:r>
      <w:r w:rsidR="007C4D18" w:rsidRPr="00884165">
        <w:rPr>
          <w:rFonts w:ascii="Arial" w:hAnsi="Arial" w:cs="Arial"/>
        </w:rPr>
        <w:t>, el GTS ha determinado que para el año 201</w:t>
      </w:r>
      <w:r w:rsidR="00884165">
        <w:rPr>
          <w:rFonts w:ascii="Arial" w:hAnsi="Arial" w:cs="Arial"/>
        </w:rPr>
        <w:t>9</w:t>
      </w:r>
      <w:r w:rsidR="007C4D18" w:rsidRPr="00884165">
        <w:rPr>
          <w:rFonts w:ascii="Arial" w:hAnsi="Arial" w:cs="Arial"/>
        </w:rPr>
        <w:t xml:space="preserve"> el precio a emplear para valorar económicamente el saldo de mermas en la</w:t>
      </w:r>
      <w:r w:rsidR="00195454" w:rsidRPr="00884165">
        <w:rPr>
          <w:rFonts w:ascii="Arial" w:hAnsi="Arial" w:cs="Arial"/>
        </w:rPr>
        <w:t xml:space="preserve">s plantas de regasificación </w:t>
      </w:r>
      <w:r w:rsidR="007C4D18" w:rsidRPr="00884165">
        <w:rPr>
          <w:rFonts w:ascii="Arial" w:hAnsi="Arial" w:cs="Arial"/>
        </w:rPr>
        <w:t xml:space="preserve">es </w:t>
      </w:r>
      <w:r w:rsidR="00884165" w:rsidRPr="00884165">
        <w:rPr>
          <w:rFonts w:ascii="Arial" w:hAnsi="Arial" w:cs="Arial"/>
        </w:rPr>
        <w:t>15</w:t>
      </w:r>
      <w:r w:rsidR="007C4D18" w:rsidRPr="00884165">
        <w:rPr>
          <w:rFonts w:ascii="Arial" w:hAnsi="Arial" w:cs="Arial"/>
        </w:rPr>
        <w:t>,</w:t>
      </w:r>
      <w:r w:rsidR="000F1C93" w:rsidRPr="00884165">
        <w:rPr>
          <w:rFonts w:ascii="Arial" w:hAnsi="Arial" w:cs="Arial"/>
        </w:rPr>
        <w:t>5</w:t>
      </w:r>
      <w:r w:rsidR="00884165" w:rsidRPr="00884165">
        <w:rPr>
          <w:rFonts w:ascii="Arial" w:hAnsi="Arial" w:cs="Arial"/>
        </w:rPr>
        <w:t>2</w:t>
      </w:r>
      <w:r w:rsidR="007C4D18" w:rsidRPr="00884165">
        <w:rPr>
          <w:rFonts w:ascii="Arial" w:hAnsi="Arial" w:cs="Arial"/>
        </w:rPr>
        <w:t xml:space="preserve"> €/</w:t>
      </w:r>
      <w:proofErr w:type="spellStart"/>
      <w:r w:rsidR="007C4D18" w:rsidRPr="00884165">
        <w:rPr>
          <w:rFonts w:ascii="Arial" w:hAnsi="Arial" w:cs="Arial"/>
        </w:rPr>
        <w:t>MWh</w:t>
      </w:r>
      <w:proofErr w:type="spellEnd"/>
      <w:r w:rsidR="004308F0" w:rsidRPr="00884165">
        <w:rPr>
          <w:rFonts w:ascii="Arial" w:hAnsi="Arial" w:cs="Arial"/>
        </w:rPr>
        <w:t>.</w:t>
      </w:r>
    </w:p>
    <w:p w14:paraId="0DE6EECB" w14:textId="77777777" w:rsidR="007C4D18" w:rsidRPr="009374AB" w:rsidRDefault="007C4D18" w:rsidP="00A65300">
      <w:pPr>
        <w:rPr>
          <w:rFonts w:ascii="Arial" w:hAnsi="Arial" w:cs="Arial"/>
        </w:rPr>
      </w:pPr>
    </w:p>
    <w:p w14:paraId="6F6387F5" w14:textId="4C4938B4" w:rsidR="007C4D18" w:rsidRPr="009374AB" w:rsidRDefault="006A135F" w:rsidP="00D41902">
      <w:pPr>
        <w:jc w:val="both"/>
        <w:rPr>
          <w:rFonts w:ascii="Arial" w:hAnsi="Arial" w:cs="Arial"/>
        </w:rPr>
      </w:pPr>
      <w:r w:rsidRPr="009374AB">
        <w:rPr>
          <w:rFonts w:ascii="Arial" w:hAnsi="Arial" w:cs="Arial"/>
        </w:rPr>
        <w:t>L</w:t>
      </w:r>
      <w:r w:rsidR="004308F0" w:rsidRPr="009374AB">
        <w:rPr>
          <w:rFonts w:ascii="Arial" w:hAnsi="Arial" w:cs="Arial"/>
        </w:rPr>
        <w:t xml:space="preserve">a Figura </w:t>
      </w:r>
      <w:r w:rsidR="005E3095">
        <w:rPr>
          <w:rFonts w:ascii="Arial" w:hAnsi="Arial" w:cs="Arial"/>
        </w:rPr>
        <w:t>4</w:t>
      </w:r>
      <w:r w:rsidR="004308F0" w:rsidRPr="009374AB">
        <w:rPr>
          <w:rFonts w:ascii="Arial" w:hAnsi="Arial" w:cs="Arial"/>
        </w:rPr>
        <w:t xml:space="preserve"> muestra la evolución </w:t>
      </w:r>
      <w:r w:rsidR="00D41902" w:rsidRPr="009374AB">
        <w:rPr>
          <w:rFonts w:ascii="Arial" w:hAnsi="Arial" w:cs="Arial"/>
        </w:rPr>
        <w:t xml:space="preserve">diaria </w:t>
      </w:r>
      <w:r w:rsidR="004308F0" w:rsidRPr="009374AB">
        <w:rPr>
          <w:rFonts w:ascii="Arial" w:hAnsi="Arial" w:cs="Arial"/>
        </w:rPr>
        <w:t xml:space="preserve">del precio </w:t>
      </w:r>
      <w:r w:rsidR="00D41902" w:rsidRPr="009374AB">
        <w:rPr>
          <w:rFonts w:ascii="Arial" w:hAnsi="Arial" w:cs="Arial"/>
        </w:rPr>
        <w:t xml:space="preserve">del </w:t>
      </w:r>
      <w:r w:rsidR="00FD0179" w:rsidRPr="009374AB">
        <w:rPr>
          <w:rFonts w:ascii="Arial" w:hAnsi="Arial" w:cs="Arial"/>
        </w:rPr>
        <w:t>gas de operación</w:t>
      </w:r>
      <w:r w:rsidR="00D41902" w:rsidRPr="009374AB">
        <w:rPr>
          <w:rFonts w:ascii="Arial" w:hAnsi="Arial" w:cs="Arial"/>
        </w:rPr>
        <w:t xml:space="preserve"> y las cantidades adquiridas, que sirve</w:t>
      </w:r>
      <w:r w:rsidR="00FD0179" w:rsidRPr="009374AB">
        <w:rPr>
          <w:rFonts w:ascii="Arial" w:hAnsi="Arial" w:cs="Arial"/>
        </w:rPr>
        <w:t>n</w:t>
      </w:r>
      <w:r w:rsidR="00D41902" w:rsidRPr="009374AB">
        <w:rPr>
          <w:rFonts w:ascii="Arial" w:hAnsi="Arial" w:cs="Arial"/>
        </w:rPr>
        <w:t xml:space="preserve"> de referencia para el cálculo del precio medio ponderado </w:t>
      </w:r>
      <w:r w:rsidR="00EF5A7F" w:rsidRPr="009374AB">
        <w:rPr>
          <w:rFonts w:ascii="Arial" w:hAnsi="Arial" w:cs="Arial"/>
        </w:rPr>
        <w:t>(</w:t>
      </w:r>
      <w:r w:rsidR="009374AB" w:rsidRPr="009374AB">
        <w:rPr>
          <w:rFonts w:ascii="Arial" w:hAnsi="Arial" w:cs="Arial"/>
        </w:rPr>
        <w:t>15</w:t>
      </w:r>
      <w:r w:rsidR="006F3A58" w:rsidRPr="009374AB">
        <w:rPr>
          <w:rFonts w:ascii="Arial" w:hAnsi="Arial" w:cs="Arial"/>
        </w:rPr>
        <w:t>,</w:t>
      </w:r>
      <w:r w:rsidR="000F1C93" w:rsidRPr="009374AB">
        <w:rPr>
          <w:rFonts w:ascii="Arial" w:hAnsi="Arial" w:cs="Arial"/>
        </w:rPr>
        <w:t>5</w:t>
      </w:r>
      <w:r w:rsidR="009374AB" w:rsidRPr="009374AB">
        <w:rPr>
          <w:rFonts w:ascii="Arial" w:hAnsi="Arial" w:cs="Arial"/>
        </w:rPr>
        <w:t>2</w:t>
      </w:r>
      <w:r w:rsidR="00EF5A7F" w:rsidRPr="009374AB">
        <w:rPr>
          <w:rFonts w:ascii="Arial" w:hAnsi="Arial" w:cs="Arial"/>
        </w:rPr>
        <w:t xml:space="preserve"> €/</w:t>
      </w:r>
      <w:proofErr w:type="spellStart"/>
      <w:r w:rsidR="00EF5A7F" w:rsidRPr="009374AB">
        <w:rPr>
          <w:rFonts w:ascii="Arial" w:hAnsi="Arial" w:cs="Arial"/>
        </w:rPr>
        <w:t>MWh</w:t>
      </w:r>
      <w:proofErr w:type="spellEnd"/>
      <w:r w:rsidR="00EF5A7F" w:rsidRPr="009374AB">
        <w:rPr>
          <w:rFonts w:ascii="Arial" w:hAnsi="Arial" w:cs="Arial"/>
        </w:rPr>
        <w:t>)</w:t>
      </w:r>
      <w:r w:rsidR="00FD0179" w:rsidRPr="009374AB">
        <w:rPr>
          <w:rFonts w:ascii="Arial" w:hAnsi="Arial" w:cs="Arial"/>
        </w:rPr>
        <w:t xml:space="preserve"> en el </w:t>
      </w:r>
      <w:r w:rsidR="00D41902" w:rsidRPr="009374AB">
        <w:rPr>
          <w:rFonts w:ascii="Arial" w:hAnsi="Arial" w:cs="Arial"/>
        </w:rPr>
        <w:t xml:space="preserve">periodo </w:t>
      </w:r>
      <w:r w:rsidR="00FD0179" w:rsidRPr="009374AB">
        <w:rPr>
          <w:rFonts w:ascii="Arial" w:hAnsi="Arial" w:cs="Arial"/>
        </w:rPr>
        <w:t>1 de enero a</w:t>
      </w:r>
      <w:r w:rsidR="00D41902" w:rsidRPr="009374AB">
        <w:rPr>
          <w:rFonts w:ascii="Arial" w:hAnsi="Arial" w:cs="Arial"/>
        </w:rPr>
        <w:t xml:space="preserve"> 31 de diciembre</w:t>
      </w:r>
      <w:r w:rsidR="00FD0179" w:rsidRPr="009374AB">
        <w:rPr>
          <w:rFonts w:ascii="Arial" w:hAnsi="Arial" w:cs="Arial"/>
        </w:rPr>
        <w:t xml:space="preserve"> de 201</w:t>
      </w:r>
      <w:r w:rsidR="009374AB" w:rsidRPr="009374AB">
        <w:rPr>
          <w:rFonts w:ascii="Arial" w:hAnsi="Arial" w:cs="Arial"/>
        </w:rPr>
        <w:t>9</w:t>
      </w:r>
      <w:r w:rsidR="00D41902" w:rsidRPr="009374AB">
        <w:rPr>
          <w:rFonts w:ascii="Arial" w:hAnsi="Arial" w:cs="Arial"/>
        </w:rPr>
        <w:t>.</w:t>
      </w:r>
    </w:p>
    <w:p w14:paraId="5863B445" w14:textId="77777777" w:rsidR="00941F08" w:rsidRPr="009374AB" w:rsidRDefault="00941F08" w:rsidP="00D41902">
      <w:pPr>
        <w:jc w:val="both"/>
        <w:rPr>
          <w:rFonts w:ascii="Arial" w:hAnsi="Arial" w:cs="Arial"/>
        </w:rPr>
      </w:pPr>
    </w:p>
    <w:p w14:paraId="0407950F" w14:textId="351DB762" w:rsidR="00941F08" w:rsidRPr="009374AB" w:rsidRDefault="009374AB" w:rsidP="00D41902">
      <w:pPr>
        <w:jc w:val="both"/>
        <w:rPr>
          <w:rFonts w:ascii="Arial" w:hAnsi="Arial" w:cs="Arial"/>
        </w:rPr>
      </w:pPr>
      <w:r w:rsidRPr="009374AB">
        <w:rPr>
          <w:noProof/>
        </w:rPr>
        <w:drawing>
          <wp:inline distT="0" distB="0" distL="0" distR="0" wp14:anchorId="7D5789C5" wp14:editId="3D3F011B">
            <wp:extent cx="5490210" cy="18053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0210" cy="1805305"/>
                    </a:xfrm>
                    <a:prstGeom prst="rect">
                      <a:avLst/>
                    </a:prstGeom>
                    <a:noFill/>
                    <a:ln>
                      <a:noFill/>
                    </a:ln>
                  </pic:spPr>
                </pic:pic>
              </a:graphicData>
            </a:graphic>
          </wp:inline>
        </w:drawing>
      </w:r>
    </w:p>
    <w:p w14:paraId="78790489" w14:textId="3011216A" w:rsidR="00D41902" w:rsidRPr="009374AB" w:rsidRDefault="00AA7B78" w:rsidP="00D41902">
      <w:pPr>
        <w:jc w:val="center"/>
        <w:rPr>
          <w:rFonts w:ascii="Arial" w:hAnsi="Arial" w:cs="Arial"/>
          <w:sz w:val="20"/>
          <w:szCs w:val="20"/>
        </w:rPr>
      </w:pPr>
      <w:r w:rsidRPr="009374AB">
        <w:rPr>
          <w:rFonts w:ascii="Arial" w:hAnsi="Arial" w:cs="Arial"/>
          <w:sz w:val="20"/>
          <w:szCs w:val="20"/>
        </w:rPr>
        <w:t xml:space="preserve">Figura </w:t>
      </w:r>
      <w:r w:rsidR="009E0541">
        <w:rPr>
          <w:rFonts w:ascii="Arial" w:hAnsi="Arial" w:cs="Arial"/>
          <w:sz w:val="20"/>
          <w:szCs w:val="20"/>
        </w:rPr>
        <w:t>4</w:t>
      </w:r>
      <w:r w:rsidRPr="009374AB">
        <w:rPr>
          <w:rFonts w:ascii="Arial" w:hAnsi="Arial" w:cs="Arial"/>
          <w:sz w:val="20"/>
          <w:szCs w:val="20"/>
        </w:rPr>
        <w:t xml:space="preserve">: </w:t>
      </w:r>
      <w:r w:rsidR="00D41902" w:rsidRPr="009374AB">
        <w:rPr>
          <w:rFonts w:ascii="Arial" w:hAnsi="Arial" w:cs="Arial"/>
          <w:sz w:val="20"/>
          <w:szCs w:val="20"/>
        </w:rPr>
        <w:t>Evolución del precio del gas de operación y las cantida</w:t>
      </w:r>
      <w:r w:rsidR="0012772D" w:rsidRPr="009374AB">
        <w:rPr>
          <w:rFonts w:ascii="Arial" w:hAnsi="Arial" w:cs="Arial"/>
          <w:sz w:val="20"/>
          <w:szCs w:val="20"/>
        </w:rPr>
        <w:t>des adquiridas en MIBGAS en 201</w:t>
      </w:r>
      <w:r w:rsidR="009374AB" w:rsidRPr="009374AB">
        <w:rPr>
          <w:rFonts w:ascii="Arial" w:hAnsi="Arial" w:cs="Arial"/>
          <w:sz w:val="20"/>
          <w:szCs w:val="20"/>
        </w:rPr>
        <w:t>9</w:t>
      </w:r>
      <w:r w:rsidR="00D41902" w:rsidRPr="009374AB">
        <w:rPr>
          <w:rFonts w:ascii="Arial" w:hAnsi="Arial" w:cs="Arial"/>
          <w:sz w:val="20"/>
          <w:szCs w:val="20"/>
        </w:rPr>
        <w:t>.</w:t>
      </w:r>
    </w:p>
    <w:p w14:paraId="55AFE6D7" w14:textId="77777777" w:rsidR="00FD0179" w:rsidRPr="009374AB" w:rsidRDefault="00FD0179" w:rsidP="00FD0179">
      <w:pPr>
        <w:jc w:val="both"/>
        <w:rPr>
          <w:rFonts w:ascii="Arial" w:hAnsi="Arial" w:cs="Arial"/>
        </w:rPr>
      </w:pPr>
    </w:p>
    <w:p w14:paraId="5837B5AC" w14:textId="03FD6C79" w:rsidR="00A936AE" w:rsidRPr="009374AB" w:rsidRDefault="00A936AE" w:rsidP="00A936AE">
      <w:pPr>
        <w:widowControl w:val="0"/>
        <w:ind w:left="567" w:hanging="567"/>
        <w:jc w:val="both"/>
        <w:rPr>
          <w:rFonts w:ascii="Arial" w:hAnsi="Arial" w:cs="Arial"/>
          <w:b/>
        </w:rPr>
      </w:pPr>
      <w:r w:rsidRPr="009374AB">
        <w:rPr>
          <w:rFonts w:ascii="Arial" w:hAnsi="Arial" w:cs="Arial"/>
          <w:b/>
        </w:rPr>
        <w:t xml:space="preserve">4.3. Criterios empleados en la determinación del saldo de mermas </w:t>
      </w:r>
      <w:r w:rsidR="006D1AB7" w:rsidRPr="009374AB">
        <w:rPr>
          <w:rFonts w:ascii="Arial" w:hAnsi="Arial" w:cs="Arial"/>
          <w:b/>
        </w:rPr>
        <w:t>en regasificación</w:t>
      </w:r>
      <w:r w:rsidRPr="009374AB">
        <w:rPr>
          <w:rFonts w:ascii="Arial" w:hAnsi="Arial" w:cs="Arial"/>
          <w:b/>
        </w:rPr>
        <w:t xml:space="preserve"> en </w:t>
      </w:r>
      <w:r w:rsidR="000E7F46" w:rsidRPr="009374AB">
        <w:rPr>
          <w:rFonts w:ascii="Arial" w:hAnsi="Arial" w:cs="Arial"/>
          <w:b/>
        </w:rPr>
        <w:t>201</w:t>
      </w:r>
      <w:r w:rsidR="009374AB" w:rsidRPr="009374AB">
        <w:rPr>
          <w:rFonts w:ascii="Arial" w:hAnsi="Arial" w:cs="Arial"/>
          <w:b/>
        </w:rPr>
        <w:t>9</w:t>
      </w:r>
    </w:p>
    <w:p w14:paraId="6C417314" w14:textId="77777777" w:rsidR="00DD2BAF" w:rsidRPr="009374AB" w:rsidRDefault="00DD2BAF" w:rsidP="00377BB5">
      <w:pPr>
        <w:jc w:val="both"/>
        <w:rPr>
          <w:rFonts w:ascii="Arial" w:hAnsi="Arial" w:cs="Arial"/>
        </w:rPr>
      </w:pPr>
    </w:p>
    <w:p w14:paraId="25E8C02D" w14:textId="5612331A" w:rsidR="007C4D18" w:rsidRPr="009374AB" w:rsidRDefault="007C4D18" w:rsidP="00377BB5">
      <w:pPr>
        <w:jc w:val="both"/>
        <w:rPr>
          <w:rFonts w:ascii="Arial" w:hAnsi="Arial" w:cs="Arial"/>
        </w:rPr>
      </w:pPr>
      <w:r w:rsidRPr="009374AB">
        <w:rPr>
          <w:rFonts w:ascii="Arial" w:hAnsi="Arial" w:cs="Arial"/>
        </w:rPr>
        <w:t xml:space="preserve">La determinación del saldo de mermas para el año </w:t>
      </w:r>
      <w:r w:rsidR="000E7F46" w:rsidRPr="009374AB">
        <w:rPr>
          <w:rFonts w:ascii="Arial" w:hAnsi="Arial" w:cs="Arial"/>
        </w:rPr>
        <w:t>201</w:t>
      </w:r>
      <w:r w:rsidR="009374AB" w:rsidRPr="009374AB">
        <w:rPr>
          <w:rFonts w:ascii="Arial" w:hAnsi="Arial" w:cs="Arial"/>
        </w:rPr>
        <w:t>9</w:t>
      </w:r>
      <w:r w:rsidRPr="009374AB">
        <w:rPr>
          <w:rFonts w:ascii="Arial" w:hAnsi="Arial" w:cs="Arial"/>
        </w:rPr>
        <w:t xml:space="preserve"> se calcula según el artículo </w:t>
      </w:r>
      <w:r w:rsidR="006D1AB7" w:rsidRPr="009374AB">
        <w:rPr>
          <w:rFonts w:ascii="Arial" w:hAnsi="Arial" w:cs="Arial"/>
        </w:rPr>
        <w:t>2 de la Orden ITC/1890/2010</w:t>
      </w:r>
      <w:r w:rsidRPr="009374AB">
        <w:rPr>
          <w:rFonts w:ascii="Arial" w:hAnsi="Arial" w:cs="Arial"/>
        </w:rPr>
        <w:t>, modificado por la</w:t>
      </w:r>
      <w:r w:rsidR="00A937DA" w:rsidRPr="009374AB">
        <w:rPr>
          <w:rFonts w:ascii="Arial" w:hAnsi="Arial" w:cs="Arial"/>
        </w:rPr>
        <w:t>s Ó</w:t>
      </w:r>
      <w:r w:rsidRPr="009374AB">
        <w:rPr>
          <w:rFonts w:ascii="Arial" w:hAnsi="Arial" w:cs="Arial"/>
        </w:rPr>
        <w:t>rden</w:t>
      </w:r>
      <w:r w:rsidR="00A937DA" w:rsidRPr="009374AB">
        <w:rPr>
          <w:rFonts w:ascii="Arial" w:hAnsi="Arial" w:cs="Arial"/>
        </w:rPr>
        <w:t>es</w:t>
      </w:r>
      <w:r w:rsidRPr="009374AB">
        <w:rPr>
          <w:rFonts w:ascii="Arial" w:hAnsi="Arial" w:cs="Arial"/>
        </w:rPr>
        <w:t xml:space="preserve"> IET/2446/2013</w:t>
      </w:r>
      <w:r w:rsidR="006D1AB7" w:rsidRPr="009374AB">
        <w:rPr>
          <w:rFonts w:ascii="Arial" w:hAnsi="Arial" w:cs="Arial"/>
        </w:rPr>
        <w:t xml:space="preserve"> e IET/2736/2015</w:t>
      </w:r>
      <w:r w:rsidRPr="009374AB">
        <w:rPr>
          <w:rFonts w:ascii="Arial" w:hAnsi="Arial" w:cs="Arial"/>
        </w:rPr>
        <w:t>, como la diferencia entre las mermas reales y las mermas retenidas.</w:t>
      </w:r>
    </w:p>
    <w:p w14:paraId="6D214634" w14:textId="77777777" w:rsidR="00DD2BAF" w:rsidRPr="009374AB" w:rsidRDefault="00DD2BAF" w:rsidP="00DD2BAF">
      <w:pPr>
        <w:jc w:val="both"/>
        <w:rPr>
          <w:rFonts w:ascii="Arial" w:hAnsi="Arial" w:cs="Arial"/>
        </w:rPr>
      </w:pPr>
    </w:p>
    <w:p w14:paraId="308F1A26" w14:textId="77777777" w:rsidR="00DD2BAF" w:rsidRPr="009374AB" w:rsidRDefault="00DD2BAF" w:rsidP="00DD2BAF">
      <w:pPr>
        <w:jc w:val="both"/>
        <w:rPr>
          <w:rFonts w:ascii="Arial" w:hAnsi="Arial" w:cs="Arial"/>
        </w:rPr>
      </w:pPr>
      <w:r w:rsidRPr="009374AB">
        <w:rPr>
          <w:rFonts w:ascii="Arial" w:hAnsi="Arial" w:cs="Arial"/>
        </w:rPr>
        <w:t xml:space="preserve">Respecto a las mermas reales negativas, se </w:t>
      </w:r>
      <w:r w:rsidR="00A937DA" w:rsidRPr="009374AB">
        <w:rPr>
          <w:rFonts w:ascii="Arial" w:hAnsi="Arial" w:cs="Arial"/>
        </w:rPr>
        <w:t>aplica</w:t>
      </w:r>
      <w:r w:rsidRPr="009374AB">
        <w:rPr>
          <w:rFonts w:ascii="Arial" w:hAnsi="Arial" w:cs="Arial"/>
        </w:rPr>
        <w:t xml:space="preserve"> el criterio establecido por la </w:t>
      </w:r>
      <w:proofErr w:type="spellStart"/>
      <w:r w:rsidRPr="009374AB">
        <w:rPr>
          <w:rFonts w:ascii="Arial" w:hAnsi="Arial" w:cs="Arial"/>
        </w:rPr>
        <w:t>DGPEyM</w:t>
      </w:r>
      <w:proofErr w:type="spellEnd"/>
      <w:r w:rsidRPr="009374AB">
        <w:rPr>
          <w:rFonts w:ascii="Arial" w:hAnsi="Arial" w:cs="Arial"/>
        </w:rPr>
        <w:t xml:space="preserve"> de mantener el saldo de mermas</w:t>
      </w:r>
      <w:r w:rsidR="00214A4C" w:rsidRPr="009374AB">
        <w:rPr>
          <w:rFonts w:ascii="Arial" w:hAnsi="Arial" w:cs="Arial"/>
        </w:rPr>
        <w:t xml:space="preserve"> como mermas reales menos mermas retenidas</w:t>
      </w:r>
      <w:r w:rsidR="008D29C9" w:rsidRPr="009374AB">
        <w:rPr>
          <w:rFonts w:ascii="Arial" w:hAnsi="Arial" w:cs="Arial"/>
        </w:rPr>
        <w:t xml:space="preserve">, </w:t>
      </w:r>
      <w:r w:rsidRPr="009374AB">
        <w:rPr>
          <w:rFonts w:ascii="Arial" w:hAnsi="Arial" w:cs="Arial"/>
        </w:rPr>
        <w:t>con independencia de que las mermas reales pudieran ser negativas</w:t>
      </w:r>
      <w:r w:rsidR="008D29C9" w:rsidRPr="009374AB">
        <w:rPr>
          <w:rFonts w:ascii="Arial" w:hAnsi="Arial" w:cs="Arial"/>
        </w:rPr>
        <w:t>.</w:t>
      </w:r>
      <w:r w:rsidRPr="009374AB">
        <w:rPr>
          <w:rFonts w:ascii="Arial" w:hAnsi="Arial" w:cs="Arial"/>
        </w:rPr>
        <w:t xml:space="preserve"> </w:t>
      </w:r>
      <w:r w:rsidR="00AC4EC9" w:rsidRPr="009374AB">
        <w:rPr>
          <w:rFonts w:ascii="Arial" w:hAnsi="Arial" w:cs="Arial"/>
        </w:rPr>
        <w:t>De esta manera, unas mermas reales negativas darán lugar a un saldo de mermas también negativo.</w:t>
      </w:r>
    </w:p>
    <w:p w14:paraId="7CEAF4F3" w14:textId="77777777" w:rsidR="00DD2BAF" w:rsidRPr="009374AB" w:rsidRDefault="00DD2BAF" w:rsidP="002C46DC">
      <w:pPr>
        <w:jc w:val="both"/>
        <w:rPr>
          <w:rFonts w:ascii="Arial" w:hAnsi="Arial" w:cs="Arial"/>
        </w:rPr>
      </w:pPr>
    </w:p>
    <w:p w14:paraId="24B69D6E" w14:textId="77777777" w:rsidR="00703C8B" w:rsidRPr="00360AF2" w:rsidRDefault="00DD2BAF" w:rsidP="002C46DC">
      <w:pPr>
        <w:jc w:val="both"/>
        <w:rPr>
          <w:rFonts w:ascii="Arial" w:hAnsi="Arial" w:cs="Arial"/>
        </w:rPr>
      </w:pPr>
      <w:r w:rsidRPr="009374AB">
        <w:rPr>
          <w:rFonts w:ascii="Arial" w:hAnsi="Arial" w:cs="Arial"/>
        </w:rPr>
        <w:t>Por otro lado, e</w:t>
      </w:r>
      <w:r w:rsidR="006D1AB7" w:rsidRPr="009374AB">
        <w:rPr>
          <w:rFonts w:ascii="Arial" w:hAnsi="Arial" w:cs="Arial"/>
        </w:rPr>
        <w:t>n relación a la supervisión de las mermas del año 201</w:t>
      </w:r>
      <w:r w:rsidR="009374AB" w:rsidRPr="009374AB">
        <w:rPr>
          <w:rFonts w:ascii="Arial" w:hAnsi="Arial" w:cs="Arial"/>
        </w:rPr>
        <w:t>9</w:t>
      </w:r>
      <w:r w:rsidR="006D1AB7" w:rsidRPr="009374AB">
        <w:rPr>
          <w:rFonts w:ascii="Arial" w:hAnsi="Arial" w:cs="Arial"/>
        </w:rPr>
        <w:t xml:space="preserve">, </w:t>
      </w:r>
      <w:r w:rsidR="002C46DC" w:rsidRPr="009374AB">
        <w:rPr>
          <w:rFonts w:ascii="Arial" w:hAnsi="Arial" w:cs="Arial"/>
        </w:rPr>
        <w:t>el GTS ha mantenido el criterio establecido</w:t>
      </w:r>
      <w:r w:rsidR="003A35B0">
        <w:rPr>
          <w:rFonts w:ascii="Arial" w:hAnsi="Arial" w:cs="Arial"/>
        </w:rPr>
        <w:t>,</w:t>
      </w:r>
      <w:r w:rsidR="002C46DC" w:rsidRPr="009374AB">
        <w:rPr>
          <w:rFonts w:ascii="Arial" w:hAnsi="Arial" w:cs="Arial"/>
        </w:rPr>
        <w:t xml:space="preserve"> </w:t>
      </w:r>
      <w:r w:rsidR="003A35B0">
        <w:rPr>
          <w:rFonts w:ascii="Arial" w:hAnsi="Arial" w:cs="Arial"/>
        </w:rPr>
        <w:t xml:space="preserve">desde el año 2014, </w:t>
      </w:r>
      <w:r w:rsidR="002C46DC" w:rsidRPr="009374AB">
        <w:rPr>
          <w:rFonts w:ascii="Arial" w:hAnsi="Arial" w:cs="Arial"/>
        </w:rPr>
        <w:t xml:space="preserve">de contabilizar las mermas retenidas a los usuarios en las descargas de buques desviados por </w:t>
      </w:r>
      <w:r w:rsidR="005D56AD" w:rsidRPr="009374AB">
        <w:rPr>
          <w:rFonts w:ascii="Arial" w:hAnsi="Arial" w:cs="Arial"/>
        </w:rPr>
        <w:t>S</w:t>
      </w:r>
      <w:r w:rsidR="002C46DC" w:rsidRPr="009374AB">
        <w:rPr>
          <w:rFonts w:ascii="Arial" w:hAnsi="Arial" w:cs="Arial"/>
        </w:rPr>
        <w:t xml:space="preserve">ituación de </w:t>
      </w:r>
      <w:r w:rsidR="005D56AD" w:rsidRPr="009374AB">
        <w:rPr>
          <w:rFonts w:ascii="Arial" w:hAnsi="Arial" w:cs="Arial"/>
        </w:rPr>
        <w:t>O</w:t>
      </w:r>
      <w:r w:rsidR="002C46DC" w:rsidRPr="009374AB">
        <w:rPr>
          <w:rFonts w:ascii="Arial" w:hAnsi="Arial" w:cs="Arial"/>
        </w:rPr>
        <w:t xml:space="preserve">peración </w:t>
      </w:r>
      <w:r w:rsidR="005D56AD" w:rsidRPr="009374AB">
        <w:rPr>
          <w:rFonts w:ascii="Arial" w:hAnsi="Arial" w:cs="Arial"/>
        </w:rPr>
        <w:t>E</w:t>
      </w:r>
      <w:r w:rsidR="002C46DC" w:rsidRPr="009374AB">
        <w:rPr>
          <w:rFonts w:ascii="Arial" w:hAnsi="Arial" w:cs="Arial"/>
        </w:rPr>
        <w:t xml:space="preserve">xcepcional (SOE) en la planta donde se ha producido la descarga física. De esta forma, las mermas físicas que se producen durante la operación de descarga y las mermas retenidas a los usuarios por dicha operación se contabilizan en la misma planta, dando lugar a un cálculo del saldo de mermas más </w:t>
      </w:r>
      <w:r w:rsidR="002C46DC" w:rsidRPr="00360AF2">
        <w:rPr>
          <w:rFonts w:ascii="Arial" w:hAnsi="Arial" w:cs="Arial"/>
        </w:rPr>
        <w:t>coherente con la operación real.</w:t>
      </w:r>
    </w:p>
    <w:p w14:paraId="3A8F2FB1" w14:textId="77777777" w:rsidR="00703C8B" w:rsidRPr="00360AF2" w:rsidRDefault="00703C8B" w:rsidP="002C46DC">
      <w:pPr>
        <w:jc w:val="both"/>
        <w:rPr>
          <w:rFonts w:ascii="Arial" w:hAnsi="Arial" w:cs="Arial"/>
        </w:rPr>
      </w:pPr>
    </w:p>
    <w:p w14:paraId="5CC4039D" w14:textId="39236723" w:rsidR="002C46DC" w:rsidRPr="00360AF2" w:rsidRDefault="005D56AD" w:rsidP="002C46DC">
      <w:pPr>
        <w:jc w:val="both"/>
        <w:rPr>
          <w:rFonts w:ascii="Arial" w:hAnsi="Arial" w:cs="Arial"/>
        </w:rPr>
      </w:pPr>
      <w:r w:rsidRPr="00360AF2">
        <w:rPr>
          <w:rFonts w:ascii="Arial" w:hAnsi="Arial" w:cs="Arial"/>
        </w:rPr>
        <w:t>En el año 201</w:t>
      </w:r>
      <w:r w:rsidR="009374AB" w:rsidRPr="00360AF2">
        <w:rPr>
          <w:rFonts w:ascii="Arial" w:hAnsi="Arial" w:cs="Arial"/>
        </w:rPr>
        <w:t>9</w:t>
      </w:r>
      <w:r w:rsidRPr="00360AF2">
        <w:rPr>
          <w:rFonts w:ascii="Arial" w:hAnsi="Arial" w:cs="Arial"/>
        </w:rPr>
        <w:t xml:space="preserve"> se declaró un </w:t>
      </w:r>
      <w:r w:rsidR="00214A4C" w:rsidRPr="00360AF2">
        <w:rPr>
          <w:rFonts w:ascii="Arial" w:hAnsi="Arial" w:cs="Arial"/>
        </w:rPr>
        <w:t xml:space="preserve">único </w:t>
      </w:r>
      <w:r w:rsidRPr="00360AF2">
        <w:rPr>
          <w:rFonts w:ascii="Arial" w:hAnsi="Arial" w:cs="Arial"/>
        </w:rPr>
        <w:t>SOE</w:t>
      </w:r>
      <w:r w:rsidR="00214A4C" w:rsidRPr="00360AF2">
        <w:rPr>
          <w:rFonts w:ascii="Arial" w:hAnsi="Arial" w:cs="Arial"/>
        </w:rPr>
        <w:t>,</w:t>
      </w:r>
      <w:r w:rsidRPr="00360AF2">
        <w:rPr>
          <w:rFonts w:ascii="Arial" w:hAnsi="Arial" w:cs="Arial"/>
        </w:rPr>
        <w:t xml:space="preserve"> que supuso un desvío de un buque desde la planta de B</w:t>
      </w:r>
      <w:r w:rsidR="009374AB" w:rsidRPr="00360AF2">
        <w:rPr>
          <w:rFonts w:ascii="Arial" w:hAnsi="Arial" w:cs="Arial"/>
        </w:rPr>
        <w:t xml:space="preserve">ilbao </w:t>
      </w:r>
      <w:r w:rsidRPr="00360AF2">
        <w:rPr>
          <w:rFonts w:ascii="Arial" w:hAnsi="Arial" w:cs="Arial"/>
        </w:rPr>
        <w:t xml:space="preserve">a la planta de </w:t>
      </w:r>
      <w:r w:rsidR="009374AB" w:rsidRPr="00360AF2">
        <w:rPr>
          <w:rFonts w:ascii="Arial" w:hAnsi="Arial" w:cs="Arial"/>
        </w:rPr>
        <w:t>Mugardos</w:t>
      </w:r>
      <w:r w:rsidRPr="00360AF2">
        <w:rPr>
          <w:rFonts w:ascii="Arial" w:hAnsi="Arial" w:cs="Arial"/>
        </w:rPr>
        <w:t xml:space="preserve">. </w:t>
      </w:r>
      <w:r w:rsidR="00703C8B" w:rsidRPr="00360AF2">
        <w:rPr>
          <w:rFonts w:ascii="Arial" w:hAnsi="Arial" w:cs="Arial"/>
        </w:rPr>
        <w:t>En esta operación, el GTS realizó la retención de las mermas de este buque en la planta de Mugardos.</w:t>
      </w:r>
    </w:p>
    <w:p w14:paraId="66CB8941" w14:textId="77777777" w:rsidR="002C46DC" w:rsidRPr="00360AF2" w:rsidRDefault="002C46DC" w:rsidP="006D1AB7">
      <w:pPr>
        <w:jc w:val="both"/>
        <w:rPr>
          <w:rFonts w:ascii="Arial" w:hAnsi="Arial" w:cs="Arial"/>
        </w:rPr>
      </w:pPr>
    </w:p>
    <w:p w14:paraId="6D53015B" w14:textId="1C0D8AA9" w:rsidR="00703C8B" w:rsidRPr="00A81E70" w:rsidRDefault="003A35B0" w:rsidP="003A35B0">
      <w:pPr>
        <w:jc w:val="both"/>
        <w:rPr>
          <w:rFonts w:ascii="Arial" w:hAnsi="Arial" w:cs="Arial"/>
        </w:rPr>
      </w:pPr>
      <w:r w:rsidRPr="00A81E70">
        <w:rPr>
          <w:rFonts w:ascii="Arial" w:hAnsi="Arial" w:cs="Arial"/>
        </w:rPr>
        <w:t>A este respecto, e</w:t>
      </w:r>
      <w:r w:rsidR="009374AB" w:rsidRPr="00A81E70">
        <w:rPr>
          <w:rFonts w:ascii="Arial" w:hAnsi="Arial" w:cs="Arial"/>
        </w:rPr>
        <w:t xml:space="preserve">l GTS </w:t>
      </w:r>
      <w:r w:rsidR="00973393" w:rsidRPr="00A81E70">
        <w:rPr>
          <w:rFonts w:ascii="Arial" w:hAnsi="Arial" w:cs="Arial"/>
        </w:rPr>
        <w:t xml:space="preserve">pone de manifiesto </w:t>
      </w:r>
      <w:r w:rsidR="00C60677" w:rsidRPr="00A81E70">
        <w:rPr>
          <w:rFonts w:ascii="Arial" w:hAnsi="Arial" w:cs="Arial"/>
        </w:rPr>
        <w:t>en su in</w:t>
      </w:r>
      <w:r w:rsidR="009374AB" w:rsidRPr="00A81E70">
        <w:rPr>
          <w:rFonts w:ascii="Arial" w:hAnsi="Arial" w:cs="Arial"/>
        </w:rPr>
        <w:t>form</w:t>
      </w:r>
      <w:r w:rsidR="00C60677" w:rsidRPr="00A81E70">
        <w:rPr>
          <w:rFonts w:ascii="Arial" w:hAnsi="Arial" w:cs="Arial"/>
        </w:rPr>
        <w:t>e</w:t>
      </w:r>
      <w:r w:rsidRPr="00A81E70">
        <w:rPr>
          <w:rFonts w:ascii="Arial" w:hAnsi="Arial" w:cs="Arial"/>
        </w:rPr>
        <w:t xml:space="preserve"> que </w:t>
      </w:r>
      <w:r w:rsidR="00973393" w:rsidRPr="00A81E70">
        <w:rPr>
          <w:rFonts w:ascii="Arial" w:hAnsi="Arial" w:cs="Arial"/>
        </w:rPr>
        <w:t xml:space="preserve">el operador </w:t>
      </w:r>
      <w:r w:rsidRPr="00A81E70">
        <w:rPr>
          <w:rFonts w:ascii="Arial" w:hAnsi="Arial" w:cs="Arial"/>
        </w:rPr>
        <w:t>BBG</w:t>
      </w:r>
      <w:r w:rsidR="00703C8B" w:rsidRPr="00A81E70">
        <w:rPr>
          <w:rFonts w:ascii="Arial" w:hAnsi="Arial" w:cs="Arial"/>
        </w:rPr>
        <w:t xml:space="preserve">, a pesar de estar conforme con el saldo </w:t>
      </w:r>
      <w:r w:rsidR="00903A5D" w:rsidRPr="00A81E70">
        <w:rPr>
          <w:rFonts w:ascii="Arial" w:hAnsi="Arial" w:cs="Arial"/>
        </w:rPr>
        <w:t xml:space="preserve">anual </w:t>
      </w:r>
      <w:r w:rsidR="00703C8B" w:rsidRPr="00A81E70">
        <w:rPr>
          <w:rFonts w:ascii="Arial" w:hAnsi="Arial" w:cs="Arial"/>
        </w:rPr>
        <w:t xml:space="preserve">de mermas asignado a la planta de Bilbao y con la operativa del GTS en relación a la retención de mermas </w:t>
      </w:r>
      <w:r w:rsidR="003E2B07" w:rsidRPr="00A81E70">
        <w:rPr>
          <w:rFonts w:ascii="Arial" w:hAnsi="Arial" w:cs="Arial"/>
        </w:rPr>
        <w:t>aplicada en los buques desviados por SOE</w:t>
      </w:r>
      <w:r w:rsidR="00703C8B" w:rsidRPr="00A81E70">
        <w:rPr>
          <w:rFonts w:ascii="Arial" w:hAnsi="Arial" w:cs="Arial"/>
        </w:rPr>
        <w:t xml:space="preserve">, </w:t>
      </w:r>
      <w:r w:rsidRPr="00A81E70">
        <w:rPr>
          <w:rFonts w:ascii="Arial" w:hAnsi="Arial" w:cs="Arial"/>
        </w:rPr>
        <w:t xml:space="preserve">mostró su disconformidad </w:t>
      </w:r>
      <w:r w:rsidR="00AD2636" w:rsidRPr="00A81E70">
        <w:rPr>
          <w:rFonts w:ascii="Arial" w:hAnsi="Arial" w:cs="Arial"/>
        </w:rPr>
        <w:t>con el</w:t>
      </w:r>
      <w:r w:rsidRPr="00A81E70">
        <w:rPr>
          <w:rFonts w:ascii="Arial" w:hAnsi="Arial" w:cs="Arial"/>
        </w:rPr>
        <w:t xml:space="preserve"> criterio </w:t>
      </w:r>
      <w:r w:rsidR="00A81E70" w:rsidRPr="00A81E70">
        <w:rPr>
          <w:rFonts w:ascii="Arial" w:hAnsi="Arial" w:cs="Arial"/>
        </w:rPr>
        <w:t>del</w:t>
      </w:r>
      <w:r w:rsidRPr="00A81E70">
        <w:rPr>
          <w:rFonts w:ascii="Arial" w:hAnsi="Arial" w:cs="Arial"/>
        </w:rPr>
        <w:t xml:space="preserve"> GTS </w:t>
      </w:r>
      <w:r w:rsidR="00A81E70" w:rsidRPr="00A81E70">
        <w:rPr>
          <w:rFonts w:ascii="Arial" w:hAnsi="Arial" w:cs="Arial"/>
        </w:rPr>
        <w:t xml:space="preserve">para calcular </w:t>
      </w:r>
      <w:r w:rsidR="00C92E32" w:rsidRPr="00A81E70">
        <w:rPr>
          <w:rFonts w:ascii="Arial" w:hAnsi="Arial" w:cs="Arial"/>
        </w:rPr>
        <w:t xml:space="preserve">el saldo de </w:t>
      </w:r>
      <w:r w:rsidR="00882A22" w:rsidRPr="00A81E70">
        <w:rPr>
          <w:rFonts w:ascii="Arial" w:hAnsi="Arial" w:cs="Arial"/>
        </w:rPr>
        <w:t xml:space="preserve">mermas </w:t>
      </w:r>
      <w:r w:rsidR="00A81E70" w:rsidRPr="00A81E70">
        <w:rPr>
          <w:rFonts w:ascii="Arial" w:hAnsi="Arial" w:cs="Arial"/>
        </w:rPr>
        <w:t>de</w:t>
      </w:r>
      <w:r w:rsidR="00C92E32" w:rsidRPr="00A81E70">
        <w:rPr>
          <w:rFonts w:ascii="Arial" w:hAnsi="Arial" w:cs="Arial"/>
        </w:rPr>
        <w:t xml:space="preserve"> los usuarios </w:t>
      </w:r>
      <w:r w:rsidR="003E2B07" w:rsidRPr="00A81E70">
        <w:rPr>
          <w:rFonts w:ascii="Arial" w:hAnsi="Arial" w:cs="Arial"/>
        </w:rPr>
        <w:t xml:space="preserve">afectados por el desvío del buque por SOE. </w:t>
      </w:r>
      <w:r w:rsidR="00A81E70" w:rsidRPr="00A81E70">
        <w:rPr>
          <w:rFonts w:ascii="Arial" w:hAnsi="Arial" w:cs="Arial"/>
        </w:rPr>
        <w:t xml:space="preserve">Así, </w:t>
      </w:r>
      <w:r w:rsidR="003E2B07" w:rsidRPr="00A81E70">
        <w:rPr>
          <w:rFonts w:ascii="Arial" w:hAnsi="Arial" w:cs="Arial"/>
        </w:rPr>
        <w:t xml:space="preserve">BBG argumenta que </w:t>
      </w:r>
      <w:r w:rsidR="00703C8B" w:rsidRPr="00A81E70">
        <w:rPr>
          <w:rFonts w:ascii="Arial" w:hAnsi="Arial" w:cs="Arial"/>
        </w:rPr>
        <w:t xml:space="preserve">la devolución de </w:t>
      </w:r>
      <w:r w:rsidR="003E2B07" w:rsidRPr="00A81E70">
        <w:rPr>
          <w:rFonts w:ascii="Arial" w:hAnsi="Arial" w:cs="Arial"/>
        </w:rPr>
        <w:t xml:space="preserve">gas del saldo de </w:t>
      </w:r>
      <w:r w:rsidR="00703C8B" w:rsidRPr="00A81E70">
        <w:rPr>
          <w:rFonts w:ascii="Arial" w:hAnsi="Arial" w:cs="Arial"/>
        </w:rPr>
        <w:t xml:space="preserve">mermas </w:t>
      </w:r>
      <w:r w:rsidR="003E2B07" w:rsidRPr="00A81E70">
        <w:rPr>
          <w:rFonts w:ascii="Arial" w:hAnsi="Arial" w:cs="Arial"/>
        </w:rPr>
        <w:t xml:space="preserve">a los usuarios </w:t>
      </w:r>
      <w:r w:rsidR="00703C8B" w:rsidRPr="00A81E70">
        <w:rPr>
          <w:rFonts w:ascii="Arial" w:hAnsi="Arial" w:cs="Arial"/>
        </w:rPr>
        <w:t>debe realizarse desde la planta física en la que se ha producido la descarga</w:t>
      </w:r>
      <w:r w:rsidR="003E2B07" w:rsidRPr="00A81E70">
        <w:rPr>
          <w:rFonts w:ascii="Arial" w:hAnsi="Arial" w:cs="Arial"/>
        </w:rPr>
        <w:t>, y no siguiendo un criterio comercial</w:t>
      </w:r>
      <w:r w:rsidR="00A81E70" w:rsidRPr="00A81E70">
        <w:rPr>
          <w:rFonts w:ascii="Arial" w:hAnsi="Arial" w:cs="Arial"/>
        </w:rPr>
        <w:t>,</w:t>
      </w:r>
      <w:r w:rsidR="003E2B07" w:rsidRPr="00A81E70">
        <w:rPr>
          <w:rFonts w:ascii="Arial" w:hAnsi="Arial" w:cs="Arial"/>
        </w:rPr>
        <w:t xml:space="preserve"> que es </w:t>
      </w:r>
      <w:r w:rsidR="00A81E70" w:rsidRPr="00A81E70">
        <w:rPr>
          <w:rFonts w:ascii="Arial" w:hAnsi="Arial" w:cs="Arial"/>
        </w:rPr>
        <w:t>el</w:t>
      </w:r>
      <w:r w:rsidR="00903A5D" w:rsidRPr="00A81E70">
        <w:rPr>
          <w:rFonts w:ascii="Arial" w:hAnsi="Arial" w:cs="Arial"/>
        </w:rPr>
        <w:t xml:space="preserve"> empleado </w:t>
      </w:r>
      <w:r w:rsidR="00A81E70" w:rsidRPr="00A81E70">
        <w:rPr>
          <w:rFonts w:ascii="Arial" w:hAnsi="Arial" w:cs="Arial"/>
        </w:rPr>
        <w:t xml:space="preserve">por </w:t>
      </w:r>
      <w:r w:rsidR="00903A5D" w:rsidRPr="00A81E70">
        <w:rPr>
          <w:rFonts w:ascii="Arial" w:hAnsi="Arial" w:cs="Arial"/>
        </w:rPr>
        <w:t>el GTS</w:t>
      </w:r>
      <w:r w:rsidR="003E2B07" w:rsidRPr="00A81E70">
        <w:rPr>
          <w:rFonts w:ascii="Arial" w:hAnsi="Arial" w:cs="Arial"/>
        </w:rPr>
        <w:t>.</w:t>
      </w:r>
    </w:p>
    <w:p w14:paraId="422A1B54" w14:textId="77777777" w:rsidR="00703C8B" w:rsidRPr="00A81E70" w:rsidRDefault="00703C8B" w:rsidP="003A35B0">
      <w:pPr>
        <w:jc w:val="both"/>
        <w:rPr>
          <w:rFonts w:ascii="Arial" w:hAnsi="Arial" w:cs="Arial"/>
        </w:rPr>
      </w:pPr>
    </w:p>
    <w:p w14:paraId="5B66146F" w14:textId="536A626A" w:rsidR="009374AB" w:rsidRPr="00360AF2" w:rsidRDefault="00A81E70" w:rsidP="006D1AB7">
      <w:pPr>
        <w:jc w:val="both"/>
        <w:rPr>
          <w:rFonts w:ascii="Arial" w:hAnsi="Arial" w:cs="Arial"/>
        </w:rPr>
      </w:pPr>
      <w:r>
        <w:rPr>
          <w:rFonts w:ascii="Arial" w:hAnsi="Arial" w:cs="Arial"/>
        </w:rPr>
        <w:t>En este sentido</w:t>
      </w:r>
      <w:r w:rsidR="000979DB" w:rsidRPr="00A81E70">
        <w:rPr>
          <w:rFonts w:ascii="Arial" w:hAnsi="Arial" w:cs="Arial"/>
        </w:rPr>
        <w:t xml:space="preserve">, la CNMC considera adecuado el criterio </w:t>
      </w:r>
      <w:r w:rsidRPr="00A81E70">
        <w:rPr>
          <w:rFonts w:ascii="Arial" w:hAnsi="Arial" w:cs="Arial"/>
        </w:rPr>
        <w:t xml:space="preserve">que ha venido </w:t>
      </w:r>
      <w:r w:rsidR="00973393" w:rsidRPr="00A81E70">
        <w:rPr>
          <w:rFonts w:ascii="Arial" w:hAnsi="Arial" w:cs="Arial"/>
        </w:rPr>
        <w:t>aplica</w:t>
      </w:r>
      <w:r w:rsidRPr="00A81E70">
        <w:rPr>
          <w:rFonts w:ascii="Arial" w:hAnsi="Arial" w:cs="Arial"/>
        </w:rPr>
        <w:t>n</w:t>
      </w:r>
      <w:r w:rsidR="00973393" w:rsidRPr="00A81E70">
        <w:rPr>
          <w:rFonts w:ascii="Arial" w:hAnsi="Arial" w:cs="Arial"/>
        </w:rPr>
        <w:t xml:space="preserve">do </w:t>
      </w:r>
      <w:r w:rsidR="000979DB" w:rsidRPr="00A81E70">
        <w:rPr>
          <w:rFonts w:ascii="Arial" w:hAnsi="Arial" w:cs="Arial"/>
        </w:rPr>
        <w:t>el GTS</w:t>
      </w:r>
      <w:r w:rsidR="00973393" w:rsidRPr="00A81E70">
        <w:rPr>
          <w:rFonts w:ascii="Arial" w:hAnsi="Arial" w:cs="Arial"/>
        </w:rPr>
        <w:t xml:space="preserve"> </w:t>
      </w:r>
      <w:r>
        <w:rPr>
          <w:rFonts w:ascii="Arial" w:hAnsi="Arial" w:cs="Arial"/>
        </w:rPr>
        <w:t xml:space="preserve">desde </w:t>
      </w:r>
      <w:r w:rsidR="00305FD0">
        <w:rPr>
          <w:rFonts w:ascii="Arial" w:hAnsi="Arial" w:cs="Arial"/>
        </w:rPr>
        <w:t>2014</w:t>
      </w:r>
      <w:r>
        <w:rPr>
          <w:rFonts w:ascii="Arial" w:hAnsi="Arial" w:cs="Arial"/>
        </w:rPr>
        <w:t xml:space="preserve"> </w:t>
      </w:r>
      <w:r w:rsidR="00973393" w:rsidRPr="00A81E70">
        <w:rPr>
          <w:rFonts w:ascii="Arial" w:hAnsi="Arial" w:cs="Arial"/>
        </w:rPr>
        <w:t>para la asignación del saldo de mermas entre los usuarios</w:t>
      </w:r>
      <w:r w:rsidR="00CD4DDB" w:rsidRPr="00A81E70">
        <w:rPr>
          <w:rFonts w:ascii="Arial" w:hAnsi="Arial" w:cs="Arial"/>
        </w:rPr>
        <w:t xml:space="preserve"> afectados por el desvío de un buque por SOE</w:t>
      </w:r>
      <w:r>
        <w:rPr>
          <w:rFonts w:ascii="Arial" w:hAnsi="Arial" w:cs="Arial"/>
        </w:rPr>
        <w:t>. El motivo de este criterio es</w:t>
      </w:r>
      <w:r w:rsidR="00CD4DDB" w:rsidRPr="00A81E70">
        <w:rPr>
          <w:rFonts w:ascii="Arial" w:hAnsi="Arial" w:cs="Arial"/>
        </w:rPr>
        <w:t xml:space="preserve"> </w:t>
      </w:r>
      <w:r w:rsidR="00973393" w:rsidRPr="00A81E70">
        <w:rPr>
          <w:rFonts w:ascii="Arial" w:hAnsi="Arial" w:cs="Arial"/>
        </w:rPr>
        <w:t>que</w:t>
      </w:r>
      <w:r w:rsidR="00360AF2" w:rsidRPr="00A81E70">
        <w:rPr>
          <w:rFonts w:ascii="Arial" w:hAnsi="Arial" w:cs="Arial"/>
        </w:rPr>
        <w:t xml:space="preserve"> p</w:t>
      </w:r>
      <w:r w:rsidRPr="00A81E70">
        <w:rPr>
          <w:rFonts w:ascii="Arial" w:hAnsi="Arial" w:cs="Arial"/>
        </w:rPr>
        <w:t>uede</w:t>
      </w:r>
      <w:r w:rsidR="00360AF2" w:rsidRPr="00A81E70">
        <w:rPr>
          <w:rFonts w:ascii="Arial" w:hAnsi="Arial" w:cs="Arial"/>
        </w:rPr>
        <w:t xml:space="preserve"> darse la situación de que un usuario no t</w:t>
      </w:r>
      <w:r>
        <w:rPr>
          <w:rFonts w:ascii="Arial" w:hAnsi="Arial" w:cs="Arial"/>
        </w:rPr>
        <w:t>enga</w:t>
      </w:r>
      <w:r w:rsidR="00360AF2" w:rsidRPr="00A81E70">
        <w:rPr>
          <w:rFonts w:ascii="Arial" w:hAnsi="Arial" w:cs="Arial"/>
        </w:rPr>
        <w:t xml:space="preserve"> contrato en la planta destino </w:t>
      </w:r>
      <w:r w:rsidR="000979DB" w:rsidRPr="00A81E70">
        <w:rPr>
          <w:rFonts w:ascii="Arial" w:hAnsi="Arial" w:cs="Arial"/>
        </w:rPr>
        <w:t xml:space="preserve">cuando </w:t>
      </w:r>
      <w:r w:rsidR="00973393" w:rsidRPr="00A81E70">
        <w:rPr>
          <w:rFonts w:ascii="Arial" w:hAnsi="Arial" w:cs="Arial"/>
        </w:rPr>
        <w:t xml:space="preserve">el GTS decide </w:t>
      </w:r>
      <w:r w:rsidR="000979DB" w:rsidRPr="00A81E70">
        <w:rPr>
          <w:rFonts w:ascii="Arial" w:hAnsi="Arial" w:cs="Arial"/>
        </w:rPr>
        <w:t>desv</w:t>
      </w:r>
      <w:r w:rsidR="00973393" w:rsidRPr="00A81E70">
        <w:rPr>
          <w:rFonts w:ascii="Arial" w:hAnsi="Arial" w:cs="Arial"/>
        </w:rPr>
        <w:t>i</w:t>
      </w:r>
      <w:r w:rsidR="000979DB" w:rsidRPr="00A81E70">
        <w:rPr>
          <w:rFonts w:ascii="Arial" w:hAnsi="Arial" w:cs="Arial"/>
        </w:rPr>
        <w:t>a</w:t>
      </w:r>
      <w:r w:rsidR="00973393" w:rsidRPr="00A81E70">
        <w:rPr>
          <w:rFonts w:ascii="Arial" w:hAnsi="Arial" w:cs="Arial"/>
        </w:rPr>
        <w:t>r</w:t>
      </w:r>
      <w:r w:rsidR="000979DB" w:rsidRPr="00A81E70">
        <w:rPr>
          <w:rFonts w:ascii="Arial" w:hAnsi="Arial" w:cs="Arial"/>
        </w:rPr>
        <w:t xml:space="preserve"> un buque </w:t>
      </w:r>
      <w:r w:rsidR="00973393" w:rsidRPr="00A81E70">
        <w:rPr>
          <w:rFonts w:ascii="Arial" w:hAnsi="Arial" w:cs="Arial"/>
        </w:rPr>
        <w:t>por SOE</w:t>
      </w:r>
      <w:r w:rsidRPr="00A81E70">
        <w:rPr>
          <w:rFonts w:ascii="Arial" w:hAnsi="Arial" w:cs="Arial"/>
        </w:rPr>
        <w:t xml:space="preserve"> y por ello, para poder devolver</w:t>
      </w:r>
      <w:r>
        <w:rPr>
          <w:rFonts w:ascii="Arial" w:hAnsi="Arial" w:cs="Arial"/>
        </w:rPr>
        <w:t xml:space="preserve"> el gas que le correspondería al usuario en la nueva planta destino, se le obligaría a contratar capacidad</w:t>
      </w:r>
      <w:r w:rsidR="00973393" w:rsidRPr="00A81E70">
        <w:rPr>
          <w:rFonts w:ascii="Arial" w:hAnsi="Arial" w:cs="Arial"/>
        </w:rPr>
        <w:t>.</w:t>
      </w:r>
      <w:r>
        <w:rPr>
          <w:rFonts w:ascii="Arial" w:hAnsi="Arial" w:cs="Arial"/>
        </w:rPr>
        <w:t xml:space="preserve"> En cualquier caso, hay que destacar que esta problemática queda resuelta con la creación del Tanque Virtual de Balance (en adelante, TVB) por la Circular 8/2019, de la CNMC, por la que se establece la metodología y condiciones de acceso y asignación de capacidad en el sistema de gas natural. Esta Circular, en aplicación desde el 1 de abril de 2020, </w:t>
      </w:r>
      <w:r w:rsidR="00571E78">
        <w:rPr>
          <w:rFonts w:ascii="Arial" w:hAnsi="Arial" w:cs="Arial"/>
        </w:rPr>
        <w:t>determina que todo el gas introducido en alguna planta de regasificación debe considerarse ubicado en el TVB, eliminando la distinción de la ubicación por planta que existía en el año 2019.</w:t>
      </w:r>
    </w:p>
    <w:p w14:paraId="30BE6B3D" w14:textId="77777777" w:rsidR="000979DB" w:rsidRPr="00360AF2" w:rsidRDefault="000979DB" w:rsidP="006D1AB7">
      <w:pPr>
        <w:jc w:val="both"/>
        <w:rPr>
          <w:rFonts w:ascii="Arial" w:hAnsi="Arial" w:cs="Arial"/>
        </w:rPr>
      </w:pPr>
    </w:p>
    <w:p w14:paraId="295D800C" w14:textId="3E44372F" w:rsidR="00B60D3F" w:rsidRPr="00571E78" w:rsidRDefault="006D1AB7" w:rsidP="006D1AB7">
      <w:pPr>
        <w:jc w:val="both"/>
        <w:rPr>
          <w:rFonts w:ascii="Arial" w:hAnsi="Arial" w:cs="Arial"/>
        </w:rPr>
      </w:pPr>
      <w:r w:rsidRPr="00360AF2">
        <w:rPr>
          <w:rFonts w:ascii="Arial" w:hAnsi="Arial" w:cs="Arial"/>
        </w:rPr>
        <w:t>Respecto a las cargas de buques con GNL</w:t>
      </w:r>
      <w:r w:rsidRPr="00062797">
        <w:rPr>
          <w:rFonts w:ascii="Arial" w:hAnsi="Arial" w:cs="Arial"/>
        </w:rPr>
        <w:t xml:space="preserve">, el criterio adoptado por los operadores </w:t>
      </w:r>
      <w:r w:rsidR="00214A4C" w:rsidRPr="00062797">
        <w:rPr>
          <w:rFonts w:ascii="Arial" w:hAnsi="Arial" w:cs="Arial"/>
        </w:rPr>
        <w:t>para</w:t>
      </w:r>
      <w:r w:rsidRPr="00062797">
        <w:rPr>
          <w:rFonts w:ascii="Arial" w:hAnsi="Arial" w:cs="Arial"/>
        </w:rPr>
        <w:t xml:space="preserve"> contabilizar </w:t>
      </w:r>
      <w:r w:rsidR="00214A4C" w:rsidRPr="00062797">
        <w:rPr>
          <w:rFonts w:ascii="Arial" w:hAnsi="Arial" w:cs="Arial"/>
        </w:rPr>
        <w:t>el</w:t>
      </w:r>
      <w:r w:rsidRPr="00062797">
        <w:rPr>
          <w:rFonts w:ascii="Arial" w:hAnsi="Arial" w:cs="Arial"/>
        </w:rPr>
        <w:t xml:space="preserve"> gas </w:t>
      </w:r>
      <w:r w:rsidR="00214A4C" w:rsidRPr="00062797">
        <w:rPr>
          <w:rFonts w:ascii="Arial" w:hAnsi="Arial" w:cs="Arial"/>
        </w:rPr>
        <w:t xml:space="preserve">que </w:t>
      </w:r>
      <w:r w:rsidR="00AC4EC9" w:rsidRPr="00062797">
        <w:rPr>
          <w:rFonts w:ascii="Arial" w:hAnsi="Arial" w:cs="Arial"/>
        </w:rPr>
        <w:t xml:space="preserve">ha de </w:t>
      </w:r>
      <w:r w:rsidRPr="00062797">
        <w:rPr>
          <w:rFonts w:ascii="Arial" w:hAnsi="Arial" w:cs="Arial"/>
        </w:rPr>
        <w:t>reten</w:t>
      </w:r>
      <w:r w:rsidR="00AC4EC9" w:rsidRPr="00062797">
        <w:rPr>
          <w:rFonts w:ascii="Arial" w:hAnsi="Arial" w:cs="Arial"/>
        </w:rPr>
        <w:t>erse</w:t>
      </w:r>
      <w:r w:rsidRPr="00062797">
        <w:rPr>
          <w:rFonts w:ascii="Arial" w:hAnsi="Arial" w:cs="Arial"/>
        </w:rPr>
        <w:t xml:space="preserve"> a los comercializadores </w:t>
      </w:r>
      <w:r w:rsidR="00AC4EC9" w:rsidRPr="00062797">
        <w:rPr>
          <w:rFonts w:ascii="Arial" w:hAnsi="Arial" w:cs="Arial"/>
        </w:rPr>
        <w:t>consiste en emplear</w:t>
      </w:r>
      <w:r w:rsidRPr="00062797">
        <w:rPr>
          <w:rFonts w:ascii="Arial" w:hAnsi="Arial" w:cs="Arial"/>
        </w:rPr>
        <w:t xml:space="preserve"> la misma cantidad de gas que se pierde en la operación, por lo que no afectaría al cálculo del saldo de mermas (mermas reales – mermas retenidas), ya que se sumaría </w:t>
      </w:r>
      <w:r w:rsidR="00AC4EC9" w:rsidRPr="00062797">
        <w:rPr>
          <w:rFonts w:ascii="Arial" w:hAnsi="Arial" w:cs="Arial"/>
        </w:rPr>
        <w:t xml:space="preserve">como mermas reales </w:t>
      </w:r>
      <w:r w:rsidRPr="00062797">
        <w:rPr>
          <w:rFonts w:ascii="Arial" w:hAnsi="Arial" w:cs="Arial"/>
        </w:rPr>
        <w:t xml:space="preserve">y se restaría </w:t>
      </w:r>
      <w:r w:rsidR="00AC4EC9" w:rsidRPr="00062797">
        <w:rPr>
          <w:rFonts w:ascii="Arial" w:hAnsi="Arial" w:cs="Arial"/>
        </w:rPr>
        <w:t xml:space="preserve">como mermas retenidas </w:t>
      </w:r>
      <w:r w:rsidRPr="00062797">
        <w:rPr>
          <w:rFonts w:ascii="Arial" w:hAnsi="Arial" w:cs="Arial"/>
        </w:rPr>
        <w:t>la misma cantidad.</w:t>
      </w:r>
      <w:r w:rsidR="00B60D3F" w:rsidRPr="00062797">
        <w:rPr>
          <w:rFonts w:ascii="Arial" w:hAnsi="Arial" w:cs="Arial"/>
        </w:rPr>
        <w:t xml:space="preserve"> </w:t>
      </w:r>
      <w:r w:rsidR="005D56AD" w:rsidRPr="00062797">
        <w:rPr>
          <w:rFonts w:ascii="Arial" w:hAnsi="Arial" w:cs="Arial"/>
        </w:rPr>
        <w:t>En el año 201</w:t>
      </w:r>
      <w:r w:rsidR="00062797" w:rsidRPr="00062797">
        <w:rPr>
          <w:rFonts w:ascii="Arial" w:hAnsi="Arial" w:cs="Arial"/>
        </w:rPr>
        <w:t>9</w:t>
      </w:r>
      <w:r w:rsidR="005D56AD" w:rsidRPr="00062797">
        <w:rPr>
          <w:rFonts w:ascii="Arial" w:hAnsi="Arial" w:cs="Arial"/>
        </w:rPr>
        <w:t xml:space="preserve"> se registraron cargas</w:t>
      </w:r>
      <w:r w:rsidR="00527500" w:rsidRPr="00062797">
        <w:rPr>
          <w:rFonts w:ascii="Arial" w:hAnsi="Arial" w:cs="Arial"/>
        </w:rPr>
        <w:t>/enfriamiento</w:t>
      </w:r>
      <w:r w:rsidR="005D56AD" w:rsidRPr="00062797">
        <w:rPr>
          <w:rFonts w:ascii="Arial" w:hAnsi="Arial" w:cs="Arial"/>
        </w:rPr>
        <w:t xml:space="preserve"> de buques en la</w:t>
      </w:r>
      <w:r w:rsidR="00526AAD" w:rsidRPr="00062797">
        <w:rPr>
          <w:rFonts w:ascii="Arial" w:hAnsi="Arial" w:cs="Arial"/>
        </w:rPr>
        <w:t>s</w:t>
      </w:r>
      <w:r w:rsidR="005D56AD" w:rsidRPr="00062797">
        <w:rPr>
          <w:rFonts w:ascii="Arial" w:hAnsi="Arial" w:cs="Arial"/>
        </w:rPr>
        <w:t xml:space="preserve"> planta</w:t>
      </w:r>
      <w:r w:rsidR="00526AAD" w:rsidRPr="00062797">
        <w:rPr>
          <w:rFonts w:ascii="Arial" w:hAnsi="Arial" w:cs="Arial"/>
        </w:rPr>
        <w:t>s</w:t>
      </w:r>
      <w:r w:rsidR="005D56AD" w:rsidRPr="00062797">
        <w:rPr>
          <w:rFonts w:ascii="Arial" w:hAnsi="Arial" w:cs="Arial"/>
        </w:rPr>
        <w:t xml:space="preserve"> </w:t>
      </w:r>
      <w:r w:rsidR="005D56AD" w:rsidRPr="00571E78">
        <w:rPr>
          <w:rFonts w:ascii="Arial" w:hAnsi="Arial" w:cs="Arial"/>
        </w:rPr>
        <w:t xml:space="preserve">de </w:t>
      </w:r>
      <w:r w:rsidR="00261EF5" w:rsidRPr="00571E78">
        <w:rPr>
          <w:rFonts w:ascii="Arial" w:hAnsi="Arial" w:cs="Arial"/>
        </w:rPr>
        <w:t>Barcelona, H</w:t>
      </w:r>
      <w:r w:rsidR="00526AAD" w:rsidRPr="00571E78">
        <w:rPr>
          <w:rFonts w:ascii="Arial" w:hAnsi="Arial" w:cs="Arial"/>
        </w:rPr>
        <w:t>ue</w:t>
      </w:r>
      <w:r w:rsidR="00261EF5" w:rsidRPr="00571E78">
        <w:rPr>
          <w:rFonts w:ascii="Arial" w:hAnsi="Arial" w:cs="Arial"/>
        </w:rPr>
        <w:t>l</w:t>
      </w:r>
      <w:r w:rsidR="00526AAD" w:rsidRPr="00571E78">
        <w:rPr>
          <w:rFonts w:ascii="Arial" w:hAnsi="Arial" w:cs="Arial"/>
        </w:rPr>
        <w:t xml:space="preserve">va, Bilbao y </w:t>
      </w:r>
      <w:r w:rsidR="005D56AD" w:rsidRPr="00571E78">
        <w:rPr>
          <w:rFonts w:ascii="Arial" w:hAnsi="Arial" w:cs="Arial"/>
        </w:rPr>
        <w:t>Mugardos.</w:t>
      </w:r>
    </w:p>
    <w:p w14:paraId="03060263" w14:textId="77777777" w:rsidR="00B60D3F" w:rsidRPr="00062797" w:rsidRDefault="00B60D3F" w:rsidP="006D1AB7">
      <w:pPr>
        <w:jc w:val="both"/>
        <w:rPr>
          <w:rFonts w:ascii="Arial" w:hAnsi="Arial" w:cs="Arial"/>
        </w:rPr>
      </w:pPr>
    </w:p>
    <w:p w14:paraId="18964205" w14:textId="77777777" w:rsidR="00A936AE" w:rsidRPr="00062797" w:rsidRDefault="00B60D3F" w:rsidP="006D1AB7">
      <w:pPr>
        <w:jc w:val="both"/>
        <w:rPr>
          <w:rFonts w:ascii="Arial" w:hAnsi="Arial" w:cs="Arial"/>
        </w:rPr>
      </w:pPr>
      <w:r w:rsidRPr="00062797">
        <w:rPr>
          <w:rFonts w:ascii="Arial" w:hAnsi="Arial" w:cs="Arial"/>
        </w:rPr>
        <w:t xml:space="preserve">De esta manera, el gas retenido a los usuarios por cada descarga de buque debería hacer frente a todas las mermas que se produzcan en la planta, salvo aquellas generadas durante las operaciones de carga de buques, puesto que éstas se imputan </w:t>
      </w:r>
      <w:r w:rsidR="006477E8" w:rsidRPr="00062797">
        <w:rPr>
          <w:rFonts w:ascii="Arial" w:hAnsi="Arial" w:cs="Arial"/>
        </w:rPr>
        <w:t>en su totalidad a los usuarios.</w:t>
      </w:r>
    </w:p>
    <w:p w14:paraId="576F7A2E" w14:textId="77777777" w:rsidR="006D1AB7" w:rsidRPr="00062797" w:rsidRDefault="006D1AB7" w:rsidP="00A65300">
      <w:pPr>
        <w:rPr>
          <w:rFonts w:ascii="Arial" w:hAnsi="Arial" w:cs="Arial"/>
        </w:rPr>
      </w:pPr>
    </w:p>
    <w:p w14:paraId="6AAF28AD" w14:textId="2F7459C8" w:rsidR="00A936AE" w:rsidRPr="00062797" w:rsidRDefault="00A936AE" w:rsidP="00A936AE">
      <w:pPr>
        <w:widowControl w:val="0"/>
        <w:ind w:left="567" w:hanging="567"/>
        <w:jc w:val="both"/>
        <w:rPr>
          <w:rFonts w:ascii="Arial" w:hAnsi="Arial" w:cs="Arial"/>
          <w:b/>
        </w:rPr>
      </w:pPr>
      <w:r w:rsidRPr="00062797">
        <w:rPr>
          <w:rFonts w:ascii="Arial" w:hAnsi="Arial" w:cs="Arial"/>
          <w:b/>
        </w:rPr>
        <w:t xml:space="preserve">4.4. Saldo de mermas en </w:t>
      </w:r>
      <w:r w:rsidR="00A14158" w:rsidRPr="00062797">
        <w:rPr>
          <w:rFonts w:ascii="Arial" w:hAnsi="Arial" w:cs="Arial"/>
          <w:b/>
        </w:rPr>
        <w:t>regasificación</w:t>
      </w:r>
      <w:r w:rsidR="00F95B3A" w:rsidRPr="00062797">
        <w:rPr>
          <w:rFonts w:ascii="Arial" w:hAnsi="Arial" w:cs="Arial"/>
          <w:b/>
        </w:rPr>
        <w:t xml:space="preserve"> en 201</w:t>
      </w:r>
      <w:r w:rsidR="00062797" w:rsidRPr="00062797">
        <w:rPr>
          <w:rFonts w:ascii="Arial" w:hAnsi="Arial" w:cs="Arial"/>
          <w:b/>
        </w:rPr>
        <w:t>9</w:t>
      </w:r>
    </w:p>
    <w:p w14:paraId="5CB85940" w14:textId="77777777" w:rsidR="00A936AE" w:rsidRPr="00062797" w:rsidRDefault="00A936AE" w:rsidP="005F1DD0">
      <w:pPr>
        <w:jc w:val="both"/>
        <w:rPr>
          <w:rFonts w:ascii="Arial" w:hAnsi="Arial" w:cs="Arial"/>
        </w:rPr>
      </w:pPr>
    </w:p>
    <w:p w14:paraId="2744D560" w14:textId="77777777" w:rsidR="001A1F84" w:rsidRPr="00062797" w:rsidRDefault="001A1F84" w:rsidP="005F1DD0">
      <w:pPr>
        <w:jc w:val="both"/>
        <w:rPr>
          <w:rFonts w:ascii="Arial" w:hAnsi="Arial"/>
        </w:rPr>
      </w:pPr>
      <w:r w:rsidRPr="00062797">
        <w:rPr>
          <w:rFonts w:ascii="Arial" w:hAnsi="Arial"/>
        </w:rPr>
        <w:t xml:space="preserve">La CNMC ha revisado los datos facilitados por el GTS empleados para la determinación del saldo de mermas en las plantas de regasificación. </w:t>
      </w:r>
    </w:p>
    <w:p w14:paraId="16BA97A6" w14:textId="77777777" w:rsidR="005F1DD0" w:rsidRPr="00062797" w:rsidRDefault="005F1DD0" w:rsidP="005F1DD0">
      <w:pPr>
        <w:jc w:val="both"/>
        <w:rPr>
          <w:rFonts w:ascii="Arial" w:hAnsi="Arial"/>
        </w:rPr>
      </w:pPr>
    </w:p>
    <w:p w14:paraId="0F5871A2" w14:textId="1C3BB90D" w:rsidR="001A1F84" w:rsidRPr="00062797" w:rsidRDefault="001A1F84" w:rsidP="005F1DD0">
      <w:pPr>
        <w:jc w:val="both"/>
        <w:rPr>
          <w:rFonts w:ascii="Arial" w:hAnsi="Arial"/>
        </w:rPr>
      </w:pPr>
      <w:r w:rsidRPr="00062797">
        <w:rPr>
          <w:rFonts w:ascii="Arial" w:hAnsi="Arial"/>
        </w:rPr>
        <w:t xml:space="preserve">La Figura </w:t>
      </w:r>
      <w:r w:rsidR="009E0541">
        <w:rPr>
          <w:rFonts w:ascii="Arial" w:hAnsi="Arial"/>
        </w:rPr>
        <w:t>5</w:t>
      </w:r>
      <w:r w:rsidRPr="00062797">
        <w:rPr>
          <w:rFonts w:ascii="Arial" w:hAnsi="Arial"/>
        </w:rPr>
        <w:t xml:space="preserve"> muestra el saldo de mermas, así como las mermas retenidas y </w:t>
      </w:r>
      <w:r w:rsidR="00571E78">
        <w:rPr>
          <w:rFonts w:ascii="Arial" w:hAnsi="Arial"/>
        </w:rPr>
        <w:t xml:space="preserve">las </w:t>
      </w:r>
      <w:r w:rsidRPr="00062797">
        <w:rPr>
          <w:rFonts w:ascii="Arial" w:hAnsi="Arial"/>
        </w:rPr>
        <w:t>mermas reales para cada planta de regasificación del sistema gasista en 201</w:t>
      </w:r>
      <w:r w:rsidR="00062797" w:rsidRPr="00062797">
        <w:rPr>
          <w:rFonts w:ascii="Arial" w:hAnsi="Arial"/>
        </w:rPr>
        <w:t>9</w:t>
      </w:r>
      <w:r w:rsidRPr="00062797">
        <w:rPr>
          <w:rFonts w:ascii="Arial" w:hAnsi="Arial"/>
        </w:rPr>
        <w:t xml:space="preserve">, conforme a los datos incluidos en el informe del GTS. </w:t>
      </w:r>
    </w:p>
    <w:p w14:paraId="4F0BFB6A" w14:textId="77777777" w:rsidR="007429D4" w:rsidRPr="00797A35" w:rsidRDefault="007429D4">
      <w:pPr>
        <w:rPr>
          <w:rFonts w:ascii="Arial" w:hAnsi="Arial"/>
          <w:color w:val="FF0000"/>
        </w:rPr>
      </w:pPr>
      <w:r w:rsidRPr="00797A35">
        <w:rPr>
          <w:rFonts w:ascii="Arial" w:hAnsi="Arial"/>
          <w:color w:val="FF0000"/>
        </w:rPr>
        <w:br w:type="page"/>
      </w:r>
    </w:p>
    <w:tbl>
      <w:tblPr>
        <w:tblStyle w:val="Tablaconcuadrcula"/>
        <w:tblW w:w="9781" w:type="dxa"/>
        <w:tblInd w:w="-459" w:type="dxa"/>
        <w:tblLayout w:type="fixed"/>
        <w:tblLook w:val="04A0" w:firstRow="1" w:lastRow="0" w:firstColumn="1" w:lastColumn="0" w:noHBand="0" w:noVBand="1"/>
      </w:tblPr>
      <w:tblGrid>
        <w:gridCol w:w="1160"/>
        <w:gridCol w:w="1250"/>
        <w:gridCol w:w="1134"/>
        <w:gridCol w:w="1134"/>
        <w:gridCol w:w="1418"/>
        <w:gridCol w:w="1134"/>
        <w:gridCol w:w="1275"/>
        <w:gridCol w:w="1276"/>
      </w:tblGrid>
      <w:tr w:rsidR="00062797" w:rsidRPr="00062797" w14:paraId="56B3529B" w14:textId="77777777" w:rsidTr="009E345F">
        <w:trPr>
          <w:trHeight w:val="442"/>
        </w:trPr>
        <w:tc>
          <w:tcPr>
            <w:tcW w:w="1160" w:type="dxa"/>
            <w:tcBorders>
              <w:top w:val="nil"/>
              <w:left w:val="nil"/>
              <w:bottom w:val="nil"/>
            </w:tcBorders>
          </w:tcPr>
          <w:p w14:paraId="19B8E7C1" w14:textId="77777777" w:rsidR="006449C8" w:rsidRPr="00062797" w:rsidRDefault="006449C8" w:rsidP="005F1DD0">
            <w:pPr>
              <w:jc w:val="both"/>
              <w:rPr>
                <w:rFonts w:ascii="Arial" w:hAnsi="Arial"/>
                <w:b/>
                <w:sz w:val="18"/>
                <w:szCs w:val="18"/>
              </w:rPr>
            </w:pPr>
            <w:bookmarkStart w:id="7" w:name="_Hlk55320745"/>
          </w:p>
        </w:tc>
        <w:tc>
          <w:tcPr>
            <w:tcW w:w="7345" w:type="dxa"/>
            <w:gridSpan w:val="6"/>
            <w:shd w:val="clear" w:color="auto" w:fill="D9D9D9" w:themeFill="background1" w:themeFillShade="D9"/>
            <w:vAlign w:val="center"/>
          </w:tcPr>
          <w:p w14:paraId="659F8D36" w14:textId="25082408" w:rsidR="006449C8" w:rsidRPr="00062797" w:rsidRDefault="006449C8" w:rsidP="002C46DC">
            <w:pPr>
              <w:jc w:val="center"/>
              <w:rPr>
                <w:rFonts w:ascii="Arial" w:hAnsi="Arial"/>
                <w:b/>
                <w:sz w:val="18"/>
                <w:szCs w:val="18"/>
              </w:rPr>
            </w:pPr>
            <w:r w:rsidRPr="00062797">
              <w:rPr>
                <w:rFonts w:ascii="Arial" w:hAnsi="Arial"/>
                <w:b/>
                <w:sz w:val="18"/>
                <w:szCs w:val="18"/>
              </w:rPr>
              <w:t>PLANTAS DE REGASIFICACIÓN – AÑO 201</w:t>
            </w:r>
            <w:r w:rsidR="00062797" w:rsidRPr="00062797">
              <w:rPr>
                <w:rFonts w:ascii="Arial" w:hAnsi="Arial"/>
                <w:b/>
                <w:sz w:val="18"/>
                <w:szCs w:val="18"/>
              </w:rPr>
              <w:t>9</w:t>
            </w:r>
          </w:p>
        </w:tc>
        <w:tc>
          <w:tcPr>
            <w:tcW w:w="1276" w:type="dxa"/>
            <w:tcBorders>
              <w:top w:val="nil"/>
              <w:right w:val="nil"/>
            </w:tcBorders>
            <w:vAlign w:val="center"/>
          </w:tcPr>
          <w:p w14:paraId="34F93000" w14:textId="77777777" w:rsidR="006449C8" w:rsidRPr="00062797" w:rsidRDefault="006449C8" w:rsidP="006449C8">
            <w:pPr>
              <w:jc w:val="center"/>
              <w:rPr>
                <w:rFonts w:ascii="Arial" w:hAnsi="Arial"/>
                <w:b/>
                <w:sz w:val="18"/>
                <w:szCs w:val="18"/>
              </w:rPr>
            </w:pPr>
          </w:p>
        </w:tc>
      </w:tr>
      <w:tr w:rsidR="00062797" w:rsidRPr="00062797" w14:paraId="0FD8C144" w14:textId="77777777" w:rsidTr="00F95B3A">
        <w:trPr>
          <w:trHeight w:val="420"/>
        </w:trPr>
        <w:tc>
          <w:tcPr>
            <w:tcW w:w="1160" w:type="dxa"/>
            <w:tcBorders>
              <w:top w:val="nil"/>
              <w:left w:val="nil"/>
            </w:tcBorders>
            <w:vAlign w:val="center"/>
          </w:tcPr>
          <w:p w14:paraId="3874DFA6" w14:textId="77777777" w:rsidR="006449C8" w:rsidRPr="00062797" w:rsidRDefault="006449C8" w:rsidP="006449C8">
            <w:pPr>
              <w:rPr>
                <w:rFonts w:ascii="Arial" w:hAnsi="Arial"/>
                <w:b/>
                <w:sz w:val="18"/>
                <w:szCs w:val="18"/>
              </w:rPr>
            </w:pPr>
            <w:r w:rsidRPr="00062797">
              <w:rPr>
                <w:rFonts w:ascii="Arial" w:hAnsi="Arial"/>
                <w:b/>
                <w:sz w:val="18"/>
                <w:szCs w:val="18"/>
              </w:rPr>
              <w:t>kWh/año</w:t>
            </w:r>
          </w:p>
        </w:tc>
        <w:tc>
          <w:tcPr>
            <w:tcW w:w="1250" w:type="dxa"/>
            <w:shd w:val="clear" w:color="auto" w:fill="D9D9D9" w:themeFill="background1" w:themeFillShade="D9"/>
            <w:vAlign w:val="center"/>
          </w:tcPr>
          <w:p w14:paraId="76B4A6E3" w14:textId="77777777" w:rsidR="006449C8" w:rsidRPr="00062797" w:rsidRDefault="006449C8" w:rsidP="006449C8">
            <w:pPr>
              <w:jc w:val="center"/>
              <w:rPr>
                <w:rFonts w:ascii="Arial" w:hAnsi="Arial"/>
                <w:b/>
                <w:sz w:val="18"/>
                <w:szCs w:val="18"/>
              </w:rPr>
            </w:pPr>
            <w:r w:rsidRPr="00062797">
              <w:rPr>
                <w:rFonts w:ascii="Arial" w:hAnsi="Arial"/>
                <w:b/>
                <w:sz w:val="18"/>
                <w:szCs w:val="18"/>
              </w:rPr>
              <w:t>Barcelona</w:t>
            </w:r>
          </w:p>
        </w:tc>
        <w:tc>
          <w:tcPr>
            <w:tcW w:w="1134" w:type="dxa"/>
            <w:shd w:val="clear" w:color="auto" w:fill="D9D9D9" w:themeFill="background1" w:themeFillShade="D9"/>
            <w:vAlign w:val="center"/>
          </w:tcPr>
          <w:p w14:paraId="0B734C87" w14:textId="77777777" w:rsidR="006449C8" w:rsidRPr="00062797" w:rsidRDefault="006449C8" w:rsidP="006449C8">
            <w:pPr>
              <w:jc w:val="center"/>
              <w:rPr>
                <w:rFonts w:ascii="Arial" w:hAnsi="Arial"/>
                <w:b/>
                <w:sz w:val="18"/>
                <w:szCs w:val="18"/>
              </w:rPr>
            </w:pPr>
            <w:r w:rsidRPr="00062797">
              <w:rPr>
                <w:rFonts w:ascii="Arial" w:hAnsi="Arial"/>
                <w:b/>
                <w:sz w:val="18"/>
                <w:szCs w:val="18"/>
              </w:rPr>
              <w:t>Cartagena</w:t>
            </w:r>
          </w:p>
        </w:tc>
        <w:tc>
          <w:tcPr>
            <w:tcW w:w="1134" w:type="dxa"/>
            <w:shd w:val="clear" w:color="auto" w:fill="D9D9D9" w:themeFill="background1" w:themeFillShade="D9"/>
            <w:vAlign w:val="center"/>
          </w:tcPr>
          <w:p w14:paraId="614B8679" w14:textId="77777777" w:rsidR="006449C8" w:rsidRPr="00062797" w:rsidRDefault="006449C8" w:rsidP="006449C8">
            <w:pPr>
              <w:jc w:val="center"/>
              <w:rPr>
                <w:rFonts w:ascii="Arial" w:hAnsi="Arial"/>
                <w:b/>
                <w:sz w:val="18"/>
                <w:szCs w:val="18"/>
              </w:rPr>
            </w:pPr>
            <w:r w:rsidRPr="00062797">
              <w:rPr>
                <w:rFonts w:ascii="Arial" w:hAnsi="Arial"/>
                <w:b/>
                <w:sz w:val="18"/>
                <w:szCs w:val="18"/>
              </w:rPr>
              <w:t>Huelva</w:t>
            </w:r>
          </w:p>
        </w:tc>
        <w:tc>
          <w:tcPr>
            <w:tcW w:w="1418" w:type="dxa"/>
            <w:shd w:val="clear" w:color="auto" w:fill="D9D9D9" w:themeFill="background1" w:themeFillShade="D9"/>
            <w:vAlign w:val="center"/>
          </w:tcPr>
          <w:p w14:paraId="2972A8F9" w14:textId="77777777" w:rsidR="006449C8" w:rsidRPr="00062797" w:rsidRDefault="006449C8" w:rsidP="006449C8">
            <w:pPr>
              <w:jc w:val="center"/>
              <w:rPr>
                <w:rFonts w:ascii="Arial" w:hAnsi="Arial"/>
                <w:b/>
                <w:sz w:val="18"/>
                <w:szCs w:val="18"/>
              </w:rPr>
            </w:pPr>
            <w:r w:rsidRPr="00062797">
              <w:rPr>
                <w:rFonts w:ascii="Arial" w:hAnsi="Arial"/>
                <w:b/>
                <w:sz w:val="18"/>
                <w:szCs w:val="18"/>
              </w:rPr>
              <w:t>Bilbao</w:t>
            </w:r>
          </w:p>
        </w:tc>
        <w:tc>
          <w:tcPr>
            <w:tcW w:w="1134" w:type="dxa"/>
            <w:shd w:val="clear" w:color="auto" w:fill="D9D9D9" w:themeFill="background1" w:themeFillShade="D9"/>
            <w:vAlign w:val="center"/>
          </w:tcPr>
          <w:p w14:paraId="2EC92A35" w14:textId="77777777" w:rsidR="006449C8" w:rsidRPr="00062797" w:rsidRDefault="006449C8" w:rsidP="006449C8">
            <w:pPr>
              <w:jc w:val="center"/>
              <w:rPr>
                <w:rFonts w:ascii="Arial" w:hAnsi="Arial"/>
                <w:b/>
                <w:sz w:val="18"/>
                <w:szCs w:val="18"/>
              </w:rPr>
            </w:pPr>
            <w:r w:rsidRPr="00062797">
              <w:rPr>
                <w:rFonts w:ascii="Arial" w:hAnsi="Arial"/>
                <w:b/>
                <w:sz w:val="18"/>
                <w:szCs w:val="18"/>
              </w:rPr>
              <w:t>Sagunto</w:t>
            </w:r>
          </w:p>
        </w:tc>
        <w:tc>
          <w:tcPr>
            <w:tcW w:w="1275" w:type="dxa"/>
            <w:shd w:val="clear" w:color="auto" w:fill="D9D9D9" w:themeFill="background1" w:themeFillShade="D9"/>
            <w:vAlign w:val="center"/>
          </w:tcPr>
          <w:p w14:paraId="7664ED3F" w14:textId="77777777" w:rsidR="006449C8" w:rsidRPr="00062797" w:rsidRDefault="006449C8" w:rsidP="006449C8">
            <w:pPr>
              <w:jc w:val="center"/>
              <w:rPr>
                <w:rFonts w:ascii="Arial" w:hAnsi="Arial"/>
                <w:b/>
                <w:sz w:val="18"/>
                <w:szCs w:val="18"/>
              </w:rPr>
            </w:pPr>
            <w:r w:rsidRPr="00062797">
              <w:rPr>
                <w:rFonts w:ascii="Arial" w:hAnsi="Arial"/>
                <w:b/>
                <w:sz w:val="18"/>
                <w:szCs w:val="18"/>
              </w:rPr>
              <w:t>Mugardos</w:t>
            </w:r>
          </w:p>
        </w:tc>
        <w:tc>
          <w:tcPr>
            <w:tcW w:w="1276" w:type="dxa"/>
            <w:shd w:val="clear" w:color="auto" w:fill="D9D9D9" w:themeFill="background1" w:themeFillShade="D9"/>
            <w:vAlign w:val="center"/>
          </w:tcPr>
          <w:p w14:paraId="18EE7A5B" w14:textId="77777777" w:rsidR="006449C8" w:rsidRPr="00062797" w:rsidRDefault="006449C8" w:rsidP="006449C8">
            <w:pPr>
              <w:jc w:val="center"/>
              <w:rPr>
                <w:rFonts w:ascii="Arial" w:hAnsi="Arial"/>
                <w:b/>
                <w:sz w:val="18"/>
                <w:szCs w:val="18"/>
              </w:rPr>
            </w:pPr>
            <w:r w:rsidRPr="00062797">
              <w:rPr>
                <w:rFonts w:ascii="Arial" w:hAnsi="Arial"/>
                <w:b/>
                <w:sz w:val="18"/>
                <w:szCs w:val="18"/>
              </w:rPr>
              <w:t>TOTAL</w:t>
            </w:r>
          </w:p>
        </w:tc>
      </w:tr>
      <w:tr w:rsidR="00062797" w:rsidRPr="00062797" w14:paraId="77DFB406" w14:textId="77777777" w:rsidTr="00062797">
        <w:trPr>
          <w:trHeight w:val="586"/>
        </w:trPr>
        <w:tc>
          <w:tcPr>
            <w:tcW w:w="1160" w:type="dxa"/>
            <w:vAlign w:val="center"/>
          </w:tcPr>
          <w:p w14:paraId="097AF6C4" w14:textId="77777777" w:rsidR="00062797" w:rsidRPr="00062797" w:rsidRDefault="00062797" w:rsidP="00062797">
            <w:pPr>
              <w:rPr>
                <w:rFonts w:ascii="Arial" w:hAnsi="Arial"/>
                <w:b/>
                <w:sz w:val="18"/>
                <w:szCs w:val="18"/>
              </w:rPr>
            </w:pPr>
            <w:r w:rsidRPr="00062797">
              <w:rPr>
                <w:rFonts w:ascii="Arial" w:hAnsi="Arial"/>
                <w:b/>
                <w:sz w:val="18"/>
                <w:szCs w:val="18"/>
              </w:rPr>
              <w:t>Mermas retenidas</w:t>
            </w:r>
          </w:p>
        </w:tc>
        <w:tc>
          <w:tcPr>
            <w:tcW w:w="1250" w:type="dxa"/>
            <w:vAlign w:val="center"/>
          </w:tcPr>
          <w:p w14:paraId="4D59855C" w14:textId="562546AB" w:rsidR="00062797" w:rsidRPr="00360AF2" w:rsidRDefault="00062797" w:rsidP="00062797">
            <w:pPr>
              <w:jc w:val="right"/>
              <w:rPr>
                <w:rFonts w:ascii="Arial" w:hAnsi="Arial" w:cs="Arial"/>
                <w:sz w:val="16"/>
                <w:szCs w:val="16"/>
              </w:rPr>
            </w:pPr>
            <w:r w:rsidRPr="00360AF2">
              <w:rPr>
                <w:rFonts w:ascii="Arial" w:hAnsi="Arial" w:cs="Arial"/>
                <w:sz w:val="16"/>
                <w:szCs w:val="16"/>
              </w:rPr>
              <w:t>3.106.342</w:t>
            </w:r>
          </w:p>
        </w:tc>
        <w:tc>
          <w:tcPr>
            <w:tcW w:w="1134" w:type="dxa"/>
            <w:vAlign w:val="center"/>
          </w:tcPr>
          <w:p w14:paraId="7E5DF12F" w14:textId="119D6853" w:rsidR="00062797" w:rsidRPr="00360AF2" w:rsidRDefault="00062797" w:rsidP="00062797">
            <w:pPr>
              <w:jc w:val="right"/>
              <w:rPr>
                <w:rFonts w:ascii="Arial" w:hAnsi="Arial" w:cs="Arial"/>
                <w:sz w:val="16"/>
                <w:szCs w:val="16"/>
              </w:rPr>
            </w:pPr>
            <w:r w:rsidRPr="00360AF2">
              <w:rPr>
                <w:rFonts w:ascii="Arial" w:hAnsi="Arial" w:cs="Arial"/>
                <w:sz w:val="16"/>
                <w:szCs w:val="16"/>
              </w:rPr>
              <w:t>999.221</w:t>
            </w:r>
          </w:p>
        </w:tc>
        <w:tc>
          <w:tcPr>
            <w:tcW w:w="1134" w:type="dxa"/>
            <w:vAlign w:val="center"/>
          </w:tcPr>
          <w:p w14:paraId="74FAA550" w14:textId="5269BF0E" w:rsidR="00062797" w:rsidRPr="00360AF2" w:rsidRDefault="00062797" w:rsidP="00062797">
            <w:pPr>
              <w:jc w:val="right"/>
              <w:rPr>
                <w:rFonts w:ascii="Arial" w:hAnsi="Arial" w:cs="Arial"/>
                <w:sz w:val="16"/>
                <w:szCs w:val="16"/>
              </w:rPr>
            </w:pPr>
            <w:r w:rsidRPr="00360AF2">
              <w:rPr>
                <w:rFonts w:ascii="Arial" w:hAnsi="Arial" w:cs="Arial"/>
                <w:sz w:val="16"/>
                <w:szCs w:val="16"/>
              </w:rPr>
              <w:t>2.778.192</w:t>
            </w:r>
          </w:p>
        </w:tc>
        <w:tc>
          <w:tcPr>
            <w:tcW w:w="1418" w:type="dxa"/>
            <w:vAlign w:val="center"/>
          </w:tcPr>
          <w:p w14:paraId="4EA4D709" w14:textId="6F497A21" w:rsidR="00062797" w:rsidRPr="00360AF2" w:rsidRDefault="00062797" w:rsidP="00062797">
            <w:pPr>
              <w:jc w:val="right"/>
              <w:rPr>
                <w:rFonts w:ascii="Arial" w:hAnsi="Arial" w:cs="Arial"/>
                <w:sz w:val="16"/>
                <w:szCs w:val="16"/>
              </w:rPr>
            </w:pPr>
            <w:r w:rsidRPr="00360AF2">
              <w:rPr>
                <w:rFonts w:ascii="Arial" w:hAnsi="Arial" w:cs="Arial"/>
                <w:sz w:val="16"/>
                <w:szCs w:val="16"/>
              </w:rPr>
              <w:t>3.214.288</w:t>
            </w:r>
          </w:p>
        </w:tc>
        <w:tc>
          <w:tcPr>
            <w:tcW w:w="1134" w:type="dxa"/>
            <w:vAlign w:val="center"/>
          </w:tcPr>
          <w:p w14:paraId="24DA608B" w14:textId="3F05EC08" w:rsidR="00062797" w:rsidRPr="00360AF2" w:rsidRDefault="00062797" w:rsidP="00062797">
            <w:pPr>
              <w:jc w:val="right"/>
              <w:rPr>
                <w:rFonts w:ascii="Arial" w:hAnsi="Arial" w:cs="Arial"/>
                <w:sz w:val="16"/>
                <w:szCs w:val="16"/>
              </w:rPr>
            </w:pPr>
            <w:r w:rsidRPr="00360AF2">
              <w:rPr>
                <w:rFonts w:ascii="Arial" w:hAnsi="Arial" w:cs="Arial"/>
                <w:sz w:val="16"/>
                <w:szCs w:val="16"/>
              </w:rPr>
              <w:t>1.182.185</w:t>
            </w:r>
          </w:p>
        </w:tc>
        <w:tc>
          <w:tcPr>
            <w:tcW w:w="1275" w:type="dxa"/>
            <w:vAlign w:val="center"/>
          </w:tcPr>
          <w:p w14:paraId="68B67A07" w14:textId="75190B9B" w:rsidR="00062797" w:rsidRPr="00360AF2" w:rsidRDefault="00062797" w:rsidP="00062797">
            <w:pPr>
              <w:jc w:val="right"/>
              <w:rPr>
                <w:rFonts w:ascii="Arial" w:hAnsi="Arial" w:cs="Arial"/>
                <w:sz w:val="16"/>
                <w:szCs w:val="16"/>
              </w:rPr>
            </w:pPr>
            <w:r w:rsidRPr="00360AF2">
              <w:rPr>
                <w:rFonts w:ascii="Arial" w:hAnsi="Arial" w:cs="Arial"/>
                <w:sz w:val="16"/>
                <w:szCs w:val="16"/>
              </w:rPr>
              <w:t>17.842.662</w:t>
            </w:r>
          </w:p>
        </w:tc>
        <w:tc>
          <w:tcPr>
            <w:tcW w:w="1276" w:type="dxa"/>
            <w:vAlign w:val="center"/>
          </w:tcPr>
          <w:p w14:paraId="3B744DF6" w14:textId="799FF47D" w:rsidR="00062797" w:rsidRPr="00360AF2" w:rsidRDefault="00062797" w:rsidP="00062797">
            <w:pPr>
              <w:jc w:val="right"/>
              <w:rPr>
                <w:rFonts w:ascii="Arial" w:hAnsi="Arial" w:cs="Arial"/>
                <w:sz w:val="16"/>
                <w:szCs w:val="16"/>
              </w:rPr>
            </w:pPr>
            <w:r w:rsidRPr="00360AF2">
              <w:rPr>
                <w:rFonts w:ascii="Arial" w:hAnsi="Arial" w:cs="Arial"/>
                <w:sz w:val="16"/>
                <w:szCs w:val="16"/>
              </w:rPr>
              <w:t>29.122.890</w:t>
            </w:r>
          </w:p>
        </w:tc>
      </w:tr>
      <w:tr w:rsidR="00062797" w:rsidRPr="00062797" w14:paraId="7DD73FB8" w14:textId="77777777" w:rsidTr="00062797">
        <w:trPr>
          <w:trHeight w:val="586"/>
        </w:trPr>
        <w:tc>
          <w:tcPr>
            <w:tcW w:w="1160" w:type="dxa"/>
            <w:vAlign w:val="center"/>
          </w:tcPr>
          <w:p w14:paraId="5C0A4C54" w14:textId="77777777" w:rsidR="00062797" w:rsidRPr="00062797" w:rsidRDefault="00062797" w:rsidP="00062797">
            <w:pPr>
              <w:rPr>
                <w:rFonts w:ascii="Arial" w:hAnsi="Arial"/>
                <w:b/>
                <w:sz w:val="18"/>
                <w:szCs w:val="18"/>
              </w:rPr>
            </w:pPr>
            <w:r w:rsidRPr="00062797">
              <w:rPr>
                <w:rFonts w:ascii="Arial" w:hAnsi="Arial"/>
                <w:b/>
                <w:sz w:val="18"/>
                <w:szCs w:val="18"/>
              </w:rPr>
              <w:t>Mermas reales</w:t>
            </w:r>
          </w:p>
        </w:tc>
        <w:tc>
          <w:tcPr>
            <w:tcW w:w="1250" w:type="dxa"/>
            <w:vAlign w:val="center"/>
          </w:tcPr>
          <w:p w14:paraId="121F1FFD" w14:textId="4EB1A9FD" w:rsidR="00062797" w:rsidRPr="00360AF2" w:rsidRDefault="00062797" w:rsidP="00062797">
            <w:pPr>
              <w:jc w:val="right"/>
              <w:rPr>
                <w:rFonts w:ascii="Arial" w:hAnsi="Arial" w:cs="Arial"/>
                <w:sz w:val="16"/>
                <w:szCs w:val="16"/>
              </w:rPr>
            </w:pPr>
            <w:r w:rsidRPr="00360AF2">
              <w:rPr>
                <w:rFonts w:ascii="Arial" w:hAnsi="Arial" w:cs="Arial"/>
                <w:sz w:val="16"/>
                <w:szCs w:val="16"/>
              </w:rPr>
              <w:t>-31.225.954</w:t>
            </w:r>
          </w:p>
        </w:tc>
        <w:tc>
          <w:tcPr>
            <w:tcW w:w="1134" w:type="dxa"/>
            <w:vAlign w:val="center"/>
          </w:tcPr>
          <w:p w14:paraId="4F1AEED9" w14:textId="115EAD73" w:rsidR="00062797" w:rsidRPr="00360AF2" w:rsidRDefault="00062797" w:rsidP="00062797">
            <w:pPr>
              <w:jc w:val="right"/>
              <w:rPr>
                <w:rFonts w:ascii="Arial" w:hAnsi="Arial" w:cs="Arial"/>
                <w:sz w:val="16"/>
                <w:szCs w:val="16"/>
              </w:rPr>
            </w:pPr>
            <w:r w:rsidRPr="00360AF2">
              <w:rPr>
                <w:rFonts w:ascii="Arial" w:hAnsi="Arial" w:cs="Arial"/>
                <w:sz w:val="16"/>
                <w:szCs w:val="16"/>
              </w:rPr>
              <w:t>-39.608.551</w:t>
            </w:r>
          </w:p>
        </w:tc>
        <w:tc>
          <w:tcPr>
            <w:tcW w:w="1134" w:type="dxa"/>
            <w:vAlign w:val="center"/>
          </w:tcPr>
          <w:p w14:paraId="5749CEAD" w14:textId="02D2938A" w:rsidR="00062797" w:rsidRPr="00360AF2" w:rsidRDefault="00062797" w:rsidP="00062797">
            <w:pPr>
              <w:ind w:left="-108"/>
              <w:jc w:val="right"/>
              <w:rPr>
                <w:rFonts w:ascii="Arial" w:hAnsi="Arial" w:cs="Arial"/>
                <w:sz w:val="16"/>
                <w:szCs w:val="16"/>
              </w:rPr>
            </w:pPr>
            <w:r w:rsidRPr="00360AF2">
              <w:rPr>
                <w:rFonts w:ascii="Arial" w:hAnsi="Arial" w:cs="Arial"/>
                <w:sz w:val="16"/>
                <w:szCs w:val="16"/>
              </w:rPr>
              <w:t>-56.163.516</w:t>
            </w:r>
          </w:p>
        </w:tc>
        <w:tc>
          <w:tcPr>
            <w:tcW w:w="1418" w:type="dxa"/>
            <w:vAlign w:val="center"/>
          </w:tcPr>
          <w:p w14:paraId="458AA681" w14:textId="44CEE29F" w:rsidR="00062797" w:rsidRPr="00360AF2" w:rsidRDefault="00062797" w:rsidP="00062797">
            <w:pPr>
              <w:ind w:left="-108"/>
              <w:jc w:val="right"/>
              <w:rPr>
                <w:rFonts w:ascii="Arial" w:hAnsi="Arial" w:cs="Arial"/>
                <w:sz w:val="16"/>
                <w:szCs w:val="16"/>
              </w:rPr>
            </w:pPr>
            <w:r w:rsidRPr="00360AF2">
              <w:rPr>
                <w:rFonts w:ascii="Arial" w:hAnsi="Arial" w:cs="Arial"/>
                <w:sz w:val="16"/>
                <w:szCs w:val="16"/>
              </w:rPr>
              <w:t>-352.150.595</w:t>
            </w:r>
          </w:p>
        </w:tc>
        <w:tc>
          <w:tcPr>
            <w:tcW w:w="1134" w:type="dxa"/>
            <w:vAlign w:val="center"/>
          </w:tcPr>
          <w:p w14:paraId="73226CAA" w14:textId="4D1771F7" w:rsidR="00062797" w:rsidRPr="00360AF2" w:rsidRDefault="00062797" w:rsidP="00062797">
            <w:pPr>
              <w:ind w:left="-108"/>
              <w:jc w:val="right"/>
              <w:rPr>
                <w:rFonts w:ascii="Arial" w:hAnsi="Arial" w:cs="Arial"/>
                <w:sz w:val="16"/>
                <w:szCs w:val="16"/>
              </w:rPr>
            </w:pPr>
            <w:r w:rsidRPr="00360AF2">
              <w:rPr>
                <w:rFonts w:ascii="Arial" w:hAnsi="Arial" w:cs="Arial"/>
                <w:sz w:val="16"/>
                <w:szCs w:val="16"/>
              </w:rPr>
              <w:t>-90.858.292</w:t>
            </w:r>
          </w:p>
        </w:tc>
        <w:tc>
          <w:tcPr>
            <w:tcW w:w="1275" w:type="dxa"/>
            <w:vAlign w:val="center"/>
          </w:tcPr>
          <w:p w14:paraId="0AAFB2BE" w14:textId="0AEDB1AB" w:rsidR="00062797" w:rsidRPr="00360AF2" w:rsidRDefault="00062797" w:rsidP="00062797">
            <w:pPr>
              <w:ind w:left="-108"/>
              <w:jc w:val="right"/>
              <w:rPr>
                <w:rFonts w:ascii="Arial" w:hAnsi="Arial" w:cs="Arial"/>
                <w:sz w:val="16"/>
                <w:szCs w:val="16"/>
              </w:rPr>
            </w:pPr>
            <w:r w:rsidRPr="00360AF2">
              <w:rPr>
                <w:rFonts w:ascii="Arial" w:hAnsi="Arial" w:cs="Arial"/>
                <w:sz w:val="16"/>
                <w:szCs w:val="16"/>
              </w:rPr>
              <w:t>-18.991.783</w:t>
            </w:r>
          </w:p>
        </w:tc>
        <w:tc>
          <w:tcPr>
            <w:tcW w:w="1276" w:type="dxa"/>
            <w:vAlign w:val="center"/>
          </w:tcPr>
          <w:p w14:paraId="1168D59A" w14:textId="46F9C767" w:rsidR="00062797" w:rsidRPr="00360AF2" w:rsidRDefault="00062797" w:rsidP="00062797">
            <w:pPr>
              <w:ind w:left="-108"/>
              <w:jc w:val="right"/>
              <w:rPr>
                <w:rFonts w:ascii="Arial" w:hAnsi="Arial" w:cs="Arial"/>
                <w:sz w:val="16"/>
                <w:szCs w:val="16"/>
              </w:rPr>
            </w:pPr>
            <w:r w:rsidRPr="00360AF2">
              <w:rPr>
                <w:rFonts w:ascii="Arial" w:hAnsi="Arial" w:cs="Arial"/>
                <w:sz w:val="16"/>
                <w:szCs w:val="16"/>
              </w:rPr>
              <w:t>-588.998.691</w:t>
            </w:r>
          </w:p>
        </w:tc>
      </w:tr>
      <w:tr w:rsidR="00062797" w:rsidRPr="00062797" w14:paraId="54E6462F" w14:textId="77777777" w:rsidTr="00062797">
        <w:trPr>
          <w:trHeight w:val="586"/>
        </w:trPr>
        <w:tc>
          <w:tcPr>
            <w:tcW w:w="1160" w:type="dxa"/>
            <w:shd w:val="clear" w:color="auto" w:fill="D9D9D9" w:themeFill="background1" w:themeFillShade="D9"/>
            <w:vAlign w:val="center"/>
          </w:tcPr>
          <w:p w14:paraId="45B480B0" w14:textId="77777777" w:rsidR="00062797" w:rsidRPr="00062797" w:rsidRDefault="00062797" w:rsidP="00062797">
            <w:pPr>
              <w:rPr>
                <w:rFonts w:ascii="Arial" w:hAnsi="Arial"/>
                <w:b/>
                <w:sz w:val="18"/>
                <w:szCs w:val="18"/>
              </w:rPr>
            </w:pPr>
            <w:r w:rsidRPr="00062797">
              <w:rPr>
                <w:rFonts w:ascii="Arial" w:hAnsi="Arial"/>
                <w:b/>
                <w:sz w:val="18"/>
                <w:szCs w:val="18"/>
              </w:rPr>
              <w:t>Saldo de mermas (*)</w:t>
            </w:r>
          </w:p>
        </w:tc>
        <w:tc>
          <w:tcPr>
            <w:tcW w:w="1250" w:type="dxa"/>
            <w:shd w:val="clear" w:color="auto" w:fill="D9D9D9" w:themeFill="background1" w:themeFillShade="D9"/>
            <w:vAlign w:val="center"/>
          </w:tcPr>
          <w:p w14:paraId="38B9A9BE" w14:textId="40D429D0" w:rsidR="00062797" w:rsidRPr="00360AF2" w:rsidRDefault="00062797" w:rsidP="00062797">
            <w:pPr>
              <w:jc w:val="right"/>
              <w:rPr>
                <w:rFonts w:ascii="Arial" w:hAnsi="Arial" w:cs="Arial"/>
                <w:b/>
                <w:bCs/>
                <w:sz w:val="16"/>
                <w:szCs w:val="16"/>
              </w:rPr>
            </w:pPr>
            <w:r w:rsidRPr="00360AF2">
              <w:rPr>
                <w:rFonts w:ascii="Arial" w:hAnsi="Arial" w:cs="Arial"/>
                <w:b/>
                <w:bCs/>
                <w:sz w:val="16"/>
                <w:szCs w:val="16"/>
              </w:rPr>
              <w:t>-34.332.296</w:t>
            </w:r>
          </w:p>
        </w:tc>
        <w:tc>
          <w:tcPr>
            <w:tcW w:w="1134" w:type="dxa"/>
            <w:shd w:val="clear" w:color="auto" w:fill="D9D9D9" w:themeFill="background1" w:themeFillShade="D9"/>
            <w:vAlign w:val="center"/>
          </w:tcPr>
          <w:p w14:paraId="45B1B4A4" w14:textId="2518676B" w:rsidR="00062797" w:rsidRPr="00360AF2" w:rsidRDefault="00062797" w:rsidP="00062797">
            <w:pPr>
              <w:jc w:val="right"/>
              <w:rPr>
                <w:rFonts w:ascii="Arial" w:hAnsi="Arial" w:cs="Arial"/>
                <w:b/>
                <w:bCs/>
                <w:sz w:val="16"/>
                <w:szCs w:val="16"/>
              </w:rPr>
            </w:pPr>
            <w:r w:rsidRPr="00360AF2">
              <w:rPr>
                <w:rFonts w:ascii="Arial" w:hAnsi="Arial" w:cs="Arial"/>
                <w:b/>
                <w:bCs/>
                <w:sz w:val="16"/>
                <w:szCs w:val="16"/>
              </w:rPr>
              <w:t>-40.607.772</w:t>
            </w:r>
          </w:p>
        </w:tc>
        <w:tc>
          <w:tcPr>
            <w:tcW w:w="1134" w:type="dxa"/>
            <w:shd w:val="clear" w:color="auto" w:fill="D9D9D9" w:themeFill="background1" w:themeFillShade="D9"/>
            <w:vAlign w:val="center"/>
          </w:tcPr>
          <w:p w14:paraId="4D6BD084" w14:textId="35A65301" w:rsidR="00062797" w:rsidRPr="00360AF2" w:rsidRDefault="00062797" w:rsidP="00062797">
            <w:pPr>
              <w:ind w:left="-108"/>
              <w:jc w:val="right"/>
              <w:rPr>
                <w:rFonts w:ascii="Arial" w:hAnsi="Arial" w:cs="Arial"/>
                <w:b/>
                <w:bCs/>
                <w:sz w:val="16"/>
                <w:szCs w:val="16"/>
              </w:rPr>
            </w:pPr>
            <w:r w:rsidRPr="00360AF2">
              <w:rPr>
                <w:rFonts w:ascii="Arial" w:hAnsi="Arial" w:cs="Arial"/>
                <w:b/>
                <w:bCs/>
                <w:sz w:val="16"/>
                <w:szCs w:val="16"/>
              </w:rPr>
              <w:t>-58.941.708</w:t>
            </w:r>
          </w:p>
        </w:tc>
        <w:tc>
          <w:tcPr>
            <w:tcW w:w="1418" w:type="dxa"/>
            <w:shd w:val="clear" w:color="auto" w:fill="D9D9D9" w:themeFill="background1" w:themeFillShade="D9"/>
            <w:vAlign w:val="center"/>
          </w:tcPr>
          <w:p w14:paraId="3C2B4918" w14:textId="349A8857" w:rsidR="00062797" w:rsidRPr="00360AF2" w:rsidRDefault="00062797" w:rsidP="00062797">
            <w:pPr>
              <w:jc w:val="right"/>
              <w:rPr>
                <w:rFonts w:ascii="Arial" w:hAnsi="Arial" w:cs="Arial"/>
                <w:b/>
                <w:bCs/>
                <w:sz w:val="16"/>
                <w:szCs w:val="16"/>
              </w:rPr>
            </w:pPr>
            <w:r w:rsidRPr="00360AF2">
              <w:rPr>
                <w:rFonts w:ascii="Arial" w:hAnsi="Arial" w:cs="Arial"/>
                <w:b/>
                <w:bCs/>
                <w:sz w:val="16"/>
                <w:szCs w:val="16"/>
              </w:rPr>
              <w:t>-355.364.883</w:t>
            </w:r>
          </w:p>
        </w:tc>
        <w:tc>
          <w:tcPr>
            <w:tcW w:w="1134" w:type="dxa"/>
            <w:shd w:val="clear" w:color="auto" w:fill="D9D9D9" w:themeFill="background1" w:themeFillShade="D9"/>
            <w:vAlign w:val="center"/>
          </w:tcPr>
          <w:p w14:paraId="63A00232" w14:textId="24D7BE67" w:rsidR="00062797" w:rsidRPr="00360AF2" w:rsidRDefault="00062797" w:rsidP="00062797">
            <w:pPr>
              <w:ind w:left="-108"/>
              <w:jc w:val="right"/>
              <w:rPr>
                <w:rFonts w:ascii="Arial" w:hAnsi="Arial" w:cs="Arial"/>
                <w:b/>
                <w:bCs/>
                <w:sz w:val="16"/>
                <w:szCs w:val="16"/>
              </w:rPr>
            </w:pPr>
            <w:r w:rsidRPr="00360AF2">
              <w:rPr>
                <w:rFonts w:ascii="Arial" w:hAnsi="Arial" w:cs="Arial"/>
                <w:b/>
                <w:bCs/>
                <w:sz w:val="16"/>
                <w:szCs w:val="16"/>
              </w:rPr>
              <w:t>-92.040.477</w:t>
            </w:r>
          </w:p>
        </w:tc>
        <w:tc>
          <w:tcPr>
            <w:tcW w:w="1275" w:type="dxa"/>
            <w:shd w:val="clear" w:color="auto" w:fill="D9D9D9" w:themeFill="background1" w:themeFillShade="D9"/>
            <w:vAlign w:val="center"/>
          </w:tcPr>
          <w:p w14:paraId="0C812843" w14:textId="192BDEB6" w:rsidR="00062797" w:rsidRPr="00360AF2" w:rsidRDefault="00062797" w:rsidP="00062797">
            <w:pPr>
              <w:ind w:left="-108"/>
              <w:jc w:val="right"/>
              <w:rPr>
                <w:rFonts w:ascii="Arial" w:hAnsi="Arial" w:cs="Arial"/>
                <w:b/>
                <w:bCs/>
                <w:sz w:val="16"/>
                <w:szCs w:val="16"/>
              </w:rPr>
            </w:pPr>
            <w:r w:rsidRPr="00360AF2">
              <w:rPr>
                <w:rFonts w:ascii="Arial" w:hAnsi="Arial" w:cs="Arial"/>
                <w:b/>
                <w:bCs/>
                <w:sz w:val="16"/>
                <w:szCs w:val="16"/>
              </w:rPr>
              <w:t>-36.834.445</w:t>
            </w:r>
          </w:p>
        </w:tc>
        <w:tc>
          <w:tcPr>
            <w:tcW w:w="1276" w:type="dxa"/>
            <w:shd w:val="clear" w:color="auto" w:fill="D9D9D9" w:themeFill="background1" w:themeFillShade="D9"/>
            <w:vAlign w:val="center"/>
          </w:tcPr>
          <w:p w14:paraId="51F23BA0" w14:textId="2F556322" w:rsidR="00062797" w:rsidRPr="00360AF2" w:rsidRDefault="00062797" w:rsidP="00062797">
            <w:pPr>
              <w:ind w:left="-108"/>
              <w:jc w:val="right"/>
              <w:rPr>
                <w:rFonts w:ascii="Arial" w:hAnsi="Arial" w:cs="Arial"/>
                <w:b/>
                <w:bCs/>
                <w:sz w:val="16"/>
                <w:szCs w:val="16"/>
              </w:rPr>
            </w:pPr>
            <w:r w:rsidRPr="00360AF2">
              <w:rPr>
                <w:rFonts w:ascii="Arial" w:hAnsi="Arial" w:cs="Arial"/>
                <w:b/>
                <w:bCs/>
                <w:sz w:val="16"/>
                <w:szCs w:val="16"/>
              </w:rPr>
              <w:t>-618.121.581</w:t>
            </w:r>
          </w:p>
        </w:tc>
      </w:tr>
    </w:tbl>
    <w:bookmarkEnd w:id="7"/>
    <w:p w14:paraId="211F69D8" w14:textId="77777777" w:rsidR="001A1F84" w:rsidRPr="00062797" w:rsidRDefault="001A1F84" w:rsidP="005F1DD0">
      <w:pPr>
        <w:jc w:val="both"/>
        <w:rPr>
          <w:rFonts w:ascii="Arial" w:hAnsi="Arial"/>
          <w:sz w:val="20"/>
          <w:szCs w:val="20"/>
        </w:rPr>
      </w:pPr>
      <w:r w:rsidRPr="00062797">
        <w:rPr>
          <w:rFonts w:ascii="Arial" w:hAnsi="Arial"/>
          <w:b/>
          <w:sz w:val="20"/>
          <w:szCs w:val="20"/>
        </w:rPr>
        <w:t>(*) Nota:</w:t>
      </w:r>
      <w:r w:rsidRPr="00062797">
        <w:rPr>
          <w:rFonts w:ascii="Arial" w:hAnsi="Arial"/>
          <w:sz w:val="20"/>
          <w:szCs w:val="20"/>
        </w:rPr>
        <w:t xml:space="preserve"> Mermas reales – mermas retenidas.</w:t>
      </w:r>
      <w:r w:rsidRPr="00062797">
        <w:rPr>
          <w:rFonts w:ascii="Arial" w:hAnsi="Arial"/>
          <w:sz w:val="20"/>
          <w:szCs w:val="20"/>
          <w:highlight w:val="yellow"/>
        </w:rPr>
        <w:t xml:space="preserve"> </w:t>
      </w:r>
    </w:p>
    <w:p w14:paraId="3663FB25" w14:textId="3A36DD86" w:rsidR="001A1F84" w:rsidRPr="00062797" w:rsidRDefault="001A1F84" w:rsidP="005F1DD0">
      <w:pPr>
        <w:jc w:val="center"/>
        <w:rPr>
          <w:rFonts w:ascii="Arial" w:hAnsi="Arial"/>
          <w:sz w:val="20"/>
          <w:szCs w:val="20"/>
        </w:rPr>
      </w:pPr>
      <w:r w:rsidRPr="00062797">
        <w:rPr>
          <w:rFonts w:ascii="Arial" w:hAnsi="Arial"/>
          <w:sz w:val="20"/>
          <w:szCs w:val="20"/>
        </w:rPr>
        <w:t xml:space="preserve">Figura </w:t>
      </w:r>
      <w:r w:rsidR="009E0541">
        <w:rPr>
          <w:rFonts w:ascii="Arial" w:hAnsi="Arial"/>
          <w:sz w:val="20"/>
          <w:szCs w:val="20"/>
        </w:rPr>
        <w:t>5</w:t>
      </w:r>
      <w:r w:rsidRPr="00062797">
        <w:rPr>
          <w:rFonts w:ascii="Arial" w:hAnsi="Arial"/>
          <w:sz w:val="20"/>
          <w:szCs w:val="20"/>
        </w:rPr>
        <w:t>. Saldo de mermas en plantas de regasificación en 201</w:t>
      </w:r>
      <w:r w:rsidR="00062797" w:rsidRPr="00062797">
        <w:rPr>
          <w:rFonts w:ascii="Arial" w:hAnsi="Arial"/>
          <w:sz w:val="20"/>
          <w:szCs w:val="20"/>
        </w:rPr>
        <w:t>9</w:t>
      </w:r>
      <w:r w:rsidRPr="00062797">
        <w:rPr>
          <w:rFonts w:ascii="Arial" w:hAnsi="Arial"/>
          <w:sz w:val="20"/>
          <w:szCs w:val="20"/>
        </w:rPr>
        <w:t>, según la información remitida por el GTS.</w:t>
      </w:r>
    </w:p>
    <w:p w14:paraId="34A68838" w14:textId="77777777" w:rsidR="009E345F" w:rsidRPr="002528B7" w:rsidRDefault="009E345F" w:rsidP="005F1DD0">
      <w:pPr>
        <w:jc w:val="both"/>
        <w:rPr>
          <w:rFonts w:ascii="Arial" w:hAnsi="Arial" w:cs="Arial"/>
        </w:rPr>
      </w:pPr>
    </w:p>
    <w:tbl>
      <w:tblPr>
        <w:tblStyle w:val="Tablaconcuadrcula"/>
        <w:tblW w:w="10206" w:type="dxa"/>
        <w:jc w:val="center"/>
        <w:tblLayout w:type="fixed"/>
        <w:tblLook w:val="04A0" w:firstRow="1" w:lastRow="0" w:firstColumn="1" w:lastColumn="0" w:noHBand="0" w:noVBand="1"/>
      </w:tblPr>
      <w:tblGrid>
        <w:gridCol w:w="1276"/>
        <w:gridCol w:w="1276"/>
        <w:gridCol w:w="1276"/>
        <w:gridCol w:w="1275"/>
        <w:gridCol w:w="1276"/>
        <w:gridCol w:w="1276"/>
        <w:gridCol w:w="1276"/>
        <w:gridCol w:w="1275"/>
      </w:tblGrid>
      <w:tr w:rsidR="0062710D" w:rsidRPr="0062710D" w14:paraId="63D4E312" w14:textId="77777777" w:rsidTr="0062710D">
        <w:trPr>
          <w:trHeight w:val="348"/>
          <w:jc w:val="center"/>
        </w:trPr>
        <w:tc>
          <w:tcPr>
            <w:tcW w:w="1276" w:type="dxa"/>
            <w:tcBorders>
              <w:top w:val="nil"/>
              <w:left w:val="nil"/>
              <w:bottom w:val="nil"/>
            </w:tcBorders>
          </w:tcPr>
          <w:p w14:paraId="73C494A6" w14:textId="77777777" w:rsidR="009E345F" w:rsidRPr="0062710D" w:rsidRDefault="009E345F" w:rsidP="009E345F">
            <w:pPr>
              <w:jc w:val="both"/>
              <w:rPr>
                <w:rFonts w:ascii="Arial" w:hAnsi="Arial" w:cs="Arial"/>
                <w:b/>
                <w:sz w:val="16"/>
                <w:szCs w:val="16"/>
              </w:rPr>
            </w:pPr>
            <w:bookmarkStart w:id="8" w:name="_Hlk55320776"/>
          </w:p>
        </w:tc>
        <w:tc>
          <w:tcPr>
            <w:tcW w:w="7655" w:type="dxa"/>
            <w:gridSpan w:val="6"/>
            <w:shd w:val="clear" w:color="auto" w:fill="D9D9D9" w:themeFill="background1" w:themeFillShade="D9"/>
            <w:vAlign w:val="center"/>
          </w:tcPr>
          <w:p w14:paraId="57878902" w14:textId="0FFB78AA" w:rsidR="009E345F" w:rsidRPr="0062710D" w:rsidRDefault="009E345F" w:rsidP="00B67591">
            <w:pPr>
              <w:jc w:val="center"/>
              <w:rPr>
                <w:rFonts w:ascii="Arial" w:hAnsi="Arial" w:cs="Arial"/>
                <w:b/>
                <w:sz w:val="16"/>
                <w:szCs w:val="16"/>
              </w:rPr>
            </w:pPr>
            <w:r w:rsidRPr="0062710D">
              <w:rPr>
                <w:rFonts w:ascii="Arial" w:hAnsi="Arial" w:cs="Arial"/>
                <w:b/>
                <w:sz w:val="16"/>
                <w:szCs w:val="16"/>
              </w:rPr>
              <w:t>PLANTAS DE REGASIFICACIÓN – AÑO 201</w:t>
            </w:r>
            <w:r w:rsidR="00062797" w:rsidRPr="0062710D">
              <w:rPr>
                <w:rFonts w:ascii="Arial" w:hAnsi="Arial" w:cs="Arial"/>
                <w:b/>
                <w:sz w:val="16"/>
                <w:szCs w:val="16"/>
              </w:rPr>
              <w:t>9</w:t>
            </w:r>
          </w:p>
        </w:tc>
        <w:tc>
          <w:tcPr>
            <w:tcW w:w="1275" w:type="dxa"/>
            <w:tcBorders>
              <w:top w:val="nil"/>
              <w:right w:val="nil"/>
            </w:tcBorders>
            <w:vAlign w:val="center"/>
          </w:tcPr>
          <w:p w14:paraId="059FF05D" w14:textId="77777777" w:rsidR="009E345F" w:rsidRPr="0062710D" w:rsidRDefault="009E345F" w:rsidP="009E345F">
            <w:pPr>
              <w:jc w:val="center"/>
              <w:rPr>
                <w:rFonts w:ascii="Arial" w:hAnsi="Arial" w:cs="Arial"/>
                <w:b/>
                <w:sz w:val="16"/>
                <w:szCs w:val="16"/>
              </w:rPr>
            </w:pPr>
          </w:p>
        </w:tc>
      </w:tr>
      <w:tr w:rsidR="0062710D" w:rsidRPr="0062710D" w14:paraId="49C6ACA6" w14:textId="77777777" w:rsidTr="0062710D">
        <w:trPr>
          <w:trHeight w:val="348"/>
          <w:jc w:val="center"/>
        </w:trPr>
        <w:tc>
          <w:tcPr>
            <w:tcW w:w="1276" w:type="dxa"/>
            <w:tcBorders>
              <w:top w:val="nil"/>
              <w:left w:val="nil"/>
            </w:tcBorders>
            <w:vAlign w:val="center"/>
          </w:tcPr>
          <w:p w14:paraId="791807B9" w14:textId="77777777" w:rsidR="009E345F" w:rsidRPr="0062710D" w:rsidRDefault="006D4B87" w:rsidP="00E94893">
            <w:pPr>
              <w:jc w:val="right"/>
              <w:rPr>
                <w:rFonts w:ascii="Arial" w:hAnsi="Arial" w:cs="Arial"/>
                <w:b/>
                <w:sz w:val="16"/>
                <w:szCs w:val="16"/>
              </w:rPr>
            </w:pPr>
            <w:r w:rsidRPr="0062710D">
              <w:rPr>
                <w:rFonts w:ascii="Arial" w:hAnsi="Arial" w:cs="Arial"/>
                <w:b/>
                <w:sz w:val="16"/>
                <w:szCs w:val="16"/>
              </w:rPr>
              <w:t>K</w:t>
            </w:r>
            <w:r w:rsidR="009E345F" w:rsidRPr="0062710D">
              <w:rPr>
                <w:rFonts w:ascii="Arial" w:hAnsi="Arial" w:cs="Arial"/>
                <w:b/>
                <w:sz w:val="16"/>
                <w:szCs w:val="16"/>
              </w:rPr>
              <w:t>Wh/año</w:t>
            </w:r>
          </w:p>
        </w:tc>
        <w:tc>
          <w:tcPr>
            <w:tcW w:w="1276" w:type="dxa"/>
            <w:shd w:val="clear" w:color="auto" w:fill="D9D9D9" w:themeFill="background1" w:themeFillShade="D9"/>
            <w:vAlign w:val="center"/>
          </w:tcPr>
          <w:p w14:paraId="29ED2A69" w14:textId="77777777" w:rsidR="009E345F" w:rsidRPr="0062710D" w:rsidRDefault="009E345F" w:rsidP="009E345F">
            <w:pPr>
              <w:jc w:val="center"/>
              <w:rPr>
                <w:rFonts w:ascii="Arial" w:hAnsi="Arial" w:cs="Arial"/>
                <w:b/>
                <w:sz w:val="16"/>
                <w:szCs w:val="16"/>
              </w:rPr>
            </w:pPr>
            <w:r w:rsidRPr="0062710D">
              <w:rPr>
                <w:rFonts w:ascii="Arial" w:hAnsi="Arial" w:cs="Arial"/>
                <w:b/>
                <w:sz w:val="16"/>
                <w:szCs w:val="16"/>
              </w:rPr>
              <w:t>Barcelona</w:t>
            </w:r>
          </w:p>
        </w:tc>
        <w:tc>
          <w:tcPr>
            <w:tcW w:w="1276" w:type="dxa"/>
            <w:shd w:val="clear" w:color="auto" w:fill="D9D9D9" w:themeFill="background1" w:themeFillShade="D9"/>
            <w:vAlign w:val="center"/>
          </w:tcPr>
          <w:p w14:paraId="0A80CEB2" w14:textId="77777777" w:rsidR="009E345F" w:rsidRPr="0062710D" w:rsidRDefault="009E345F" w:rsidP="009E345F">
            <w:pPr>
              <w:jc w:val="center"/>
              <w:rPr>
                <w:rFonts w:ascii="Arial" w:hAnsi="Arial" w:cs="Arial"/>
                <w:b/>
                <w:sz w:val="16"/>
                <w:szCs w:val="16"/>
              </w:rPr>
            </w:pPr>
            <w:r w:rsidRPr="0062710D">
              <w:rPr>
                <w:rFonts w:ascii="Arial" w:hAnsi="Arial" w:cs="Arial"/>
                <w:b/>
                <w:sz w:val="16"/>
                <w:szCs w:val="16"/>
              </w:rPr>
              <w:t>Cartagena</w:t>
            </w:r>
          </w:p>
        </w:tc>
        <w:tc>
          <w:tcPr>
            <w:tcW w:w="1275" w:type="dxa"/>
            <w:shd w:val="clear" w:color="auto" w:fill="D9D9D9" w:themeFill="background1" w:themeFillShade="D9"/>
            <w:vAlign w:val="center"/>
          </w:tcPr>
          <w:p w14:paraId="0A864042" w14:textId="77777777" w:rsidR="009E345F" w:rsidRPr="0062710D" w:rsidRDefault="009E345F" w:rsidP="009E345F">
            <w:pPr>
              <w:jc w:val="center"/>
              <w:rPr>
                <w:rFonts w:ascii="Arial" w:hAnsi="Arial" w:cs="Arial"/>
                <w:b/>
                <w:sz w:val="16"/>
                <w:szCs w:val="16"/>
              </w:rPr>
            </w:pPr>
            <w:r w:rsidRPr="0062710D">
              <w:rPr>
                <w:rFonts w:ascii="Arial" w:hAnsi="Arial" w:cs="Arial"/>
                <w:b/>
                <w:sz w:val="16"/>
                <w:szCs w:val="16"/>
              </w:rPr>
              <w:t>Huelva</w:t>
            </w:r>
          </w:p>
        </w:tc>
        <w:tc>
          <w:tcPr>
            <w:tcW w:w="1276" w:type="dxa"/>
            <w:shd w:val="clear" w:color="auto" w:fill="D9D9D9" w:themeFill="background1" w:themeFillShade="D9"/>
            <w:vAlign w:val="center"/>
          </w:tcPr>
          <w:p w14:paraId="5B5BE34A" w14:textId="77777777" w:rsidR="009E345F" w:rsidRPr="0062710D" w:rsidRDefault="009E345F" w:rsidP="009E345F">
            <w:pPr>
              <w:jc w:val="center"/>
              <w:rPr>
                <w:rFonts w:ascii="Arial" w:hAnsi="Arial" w:cs="Arial"/>
                <w:b/>
                <w:sz w:val="16"/>
                <w:szCs w:val="16"/>
              </w:rPr>
            </w:pPr>
            <w:r w:rsidRPr="0062710D">
              <w:rPr>
                <w:rFonts w:ascii="Arial" w:hAnsi="Arial" w:cs="Arial"/>
                <w:b/>
                <w:sz w:val="16"/>
                <w:szCs w:val="16"/>
              </w:rPr>
              <w:t>Bilbao</w:t>
            </w:r>
          </w:p>
        </w:tc>
        <w:tc>
          <w:tcPr>
            <w:tcW w:w="1276" w:type="dxa"/>
            <w:shd w:val="clear" w:color="auto" w:fill="D9D9D9" w:themeFill="background1" w:themeFillShade="D9"/>
            <w:vAlign w:val="center"/>
          </w:tcPr>
          <w:p w14:paraId="6F2B7A60" w14:textId="77777777" w:rsidR="009E345F" w:rsidRPr="0062710D" w:rsidRDefault="009E345F" w:rsidP="009E345F">
            <w:pPr>
              <w:jc w:val="center"/>
              <w:rPr>
                <w:rFonts w:ascii="Arial" w:hAnsi="Arial" w:cs="Arial"/>
                <w:b/>
                <w:sz w:val="16"/>
                <w:szCs w:val="16"/>
              </w:rPr>
            </w:pPr>
            <w:r w:rsidRPr="0062710D">
              <w:rPr>
                <w:rFonts w:ascii="Arial" w:hAnsi="Arial" w:cs="Arial"/>
                <w:b/>
                <w:sz w:val="16"/>
                <w:szCs w:val="16"/>
              </w:rPr>
              <w:t>Sagunto</w:t>
            </w:r>
          </w:p>
        </w:tc>
        <w:tc>
          <w:tcPr>
            <w:tcW w:w="1276" w:type="dxa"/>
            <w:shd w:val="clear" w:color="auto" w:fill="D9D9D9" w:themeFill="background1" w:themeFillShade="D9"/>
            <w:vAlign w:val="center"/>
          </w:tcPr>
          <w:p w14:paraId="7202B5AD" w14:textId="77777777" w:rsidR="009E345F" w:rsidRPr="0062710D" w:rsidRDefault="009E345F" w:rsidP="009E345F">
            <w:pPr>
              <w:jc w:val="center"/>
              <w:rPr>
                <w:rFonts w:ascii="Arial" w:hAnsi="Arial" w:cs="Arial"/>
                <w:b/>
                <w:sz w:val="16"/>
                <w:szCs w:val="16"/>
              </w:rPr>
            </w:pPr>
            <w:r w:rsidRPr="0062710D">
              <w:rPr>
                <w:rFonts w:ascii="Arial" w:hAnsi="Arial" w:cs="Arial"/>
                <w:b/>
                <w:sz w:val="16"/>
                <w:szCs w:val="16"/>
              </w:rPr>
              <w:t>Mugardos</w:t>
            </w:r>
          </w:p>
        </w:tc>
        <w:tc>
          <w:tcPr>
            <w:tcW w:w="1275" w:type="dxa"/>
            <w:shd w:val="clear" w:color="auto" w:fill="D9D9D9" w:themeFill="background1" w:themeFillShade="D9"/>
            <w:vAlign w:val="center"/>
          </w:tcPr>
          <w:p w14:paraId="6D0090FA" w14:textId="77777777" w:rsidR="009E345F" w:rsidRPr="0062710D" w:rsidRDefault="009E345F" w:rsidP="009E345F">
            <w:pPr>
              <w:jc w:val="center"/>
              <w:rPr>
                <w:rFonts w:ascii="Arial" w:hAnsi="Arial" w:cs="Arial"/>
                <w:b/>
                <w:sz w:val="16"/>
                <w:szCs w:val="16"/>
              </w:rPr>
            </w:pPr>
            <w:r w:rsidRPr="0062710D">
              <w:rPr>
                <w:rFonts w:ascii="Arial" w:hAnsi="Arial" w:cs="Arial"/>
                <w:b/>
                <w:sz w:val="16"/>
                <w:szCs w:val="16"/>
              </w:rPr>
              <w:t>TOTAL</w:t>
            </w:r>
          </w:p>
        </w:tc>
      </w:tr>
      <w:tr w:rsidR="0062710D" w:rsidRPr="0062710D" w14:paraId="74A513F7" w14:textId="77777777" w:rsidTr="00910E97">
        <w:trPr>
          <w:trHeight w:val="348"/>
          <w:jc w:val="center"/>
        </w:trPr>
        <w:tc>
          <w:tcPr>
            <w:tcW w:w="1276" w:type="dxa"/>
            <w:shd w:val="clear" w:color="auto" w:fill="auto"/>
            <w:vAlign w:val="center"/>
          </w:tcPr>
          <w:p w14:paraId="65DA3072" w14:textId="77777777" w:rsidR="00062797" w:rsidRPr="0062710D" w:rsidRDefault="00062797" w:rsidP="00062797">
            <w:pPr>
              <w:jc w:val="right"/>
              <w:rPr>
                <w:rFonts w:ascii="Arial" w:hAnsi="Arial" w:cs="Arial"/>
                <w:b/>
                <w:sz w:val="14"/>
                <w:szCs w:val="14"/>
              </w:rPr>
            </w:pPr>
            <w:r w:rsidRPr="0062710D">
              <w:rPr>
                <w:rFonts w:ascii="Arial" w:hAnsi="Arial" w:cs="Arial"/>
                <w:b/>
                <w:sz w:val="14"/>
                <w:szCs w:val="14"/>
              </w:rPr>
              <w:t>Mermas reales</w:t>
            </w:r>
          </w:p>
        </w:tc>
        <w:tc>
          <w:tcPr>
            <w:tcW w:w="1276" w:type="dxa"/>
            <w:shd w:val="clear" w:color="auto" w:fill="auto"/>
            <w:vAlign w:val="center"/>
          </w:tcPr>
          <w:p w14:paraId="7E8184F0" w14:textId="33955DB8" w:rsidR="00062797" w:rsidRPr="0062710D" w:rsidRDefault="00062797" w:rsidP="00910E97">
            <w:pPr>
              <w:jc w:val="center"/>
              <w:rPr>
                <w:rFonts w:ascii="Arial" w:hAnsi="Arial" w:cs="Arial"/>
                <w:b/>
                <w:bCs/>
                <w:sz w:val="14"/>
                <w:szCs w:val="14"/>
              </w:rPr>
            </w:pPr>
            <w:r w:rsidRPr="0062710D">
              <w:rPr>
                <w:rFonts w:ascii="Arial" w:hAnsi="Arial" w:cs="Arial"/>
                <w:sz w:val="14"/>
                <w:szCs w:val="14"/>
              </w:rPr>
              <w:t>-31.225.954</w:t>
            </w:r>
          </w:p>
        </w:tc>
        <w:tc>
          <w:tcPr>
            <w:tcW w:w="1276" w:type="dxa"/>
            <w:shd w:val="clear" w:color="auto" w:fill="auto"/>
            <w:vAlign w:val="center"/>
          </w:tcPr>
          <w:p w14:paraId="49D5F13C" w14:textId="229C42F0" w:rsidR="00062797" w:rsidRPr="0062710D" w:rsidRDefault="00062797" w:rsidP="00910E97">
            <w:pPr>
              <w:jc w:val="center"/>
              <w:rPr>
                <w:rFonts w:ascii="Arial" w:hAnsi="Arial" w:cs="Arial"/>
                <w:b/>
                <w:bCs/>
                <w:sz w:val="14"/>
                <w:szCs w:val="14"/>
              </w:rPr>
            </w:pPr>
            <w:r w:rsidRPr="0062710D">
              <w:rPr>
                <w:rFonts w:ascii="Arial" w:hAnsi="Arial" w:cs="Arial"/>
                <w:sz w:val="14"/>
                <w:szCs w:val="14"/>
              </w:rPr>
              <w:t>-39.608.551</w:t>
            </w:r>
          </w:p>
        </w:tc>
        <w:tc>
          <w:tcPr>
            <w:tcW w:w="1275" w:type="dxa"/>
            <w:shd w:val="clear" w:color="auto" w:fill="auto"/>
            <w:vAlign w:val="center"/>
          </w:tcPr>
          <w:p w14:paraId="2F9462FD" w14:textId="7DEF8E9D" w:rsidR="00062797" w:rsidRPr="0062710D" w:rsidRDefault="00062797" w:rsidP="00910E97">
            <w:pPr>
              <w:jc w:val="center"/>
              <w:rPr>
                <w:rFonts w:ascii="Arial" w:hAnsi="Arial" w:cs="Arial"/>
                <w:b/>
                <w:bCs/>
                <w:sz w:val="14"/>
                <w:szCs w:val="14"/>
              </w:rPr>
            </w:pPr>
            <w:r w:rsidRPr="0062710D">
              <w:rPr>
                <w:rFonts w:ascii="Arial" w:hAnsi="Arial" w:cs="Arial"/>
                <w:sz w:val="14"/>
                <w:szCs w:val="14"/>
              </w:rPr>
              <w:t>-56.163.516</w:t>
            </w:r>
          </w:p>
        </w:tc>
        <w:tc>
          <w:tcPr>
            <w:tcW w:w="1276" w:type="dxa"/>
            <w:shd w:val="clear" w:color="auto" w:fill="auto"/>
            <w:vAlign w:val="center"/>
          </w:tcPr>
          <w:p w14:paraId="6AA655BB" w14:textId="1273FD5C" w:rsidR="00062797" w:rsidRPr="0062710D" w:rsidRDefault="00062797" w:rsidP="00910E97">
            <w:pPr>
              <w:jc w:val="center"/>
              <w:rPr>
                <w:rFonts w:ascii="Arial" w:hAnsi="Arial" w:cs="Arial"/>
                <w:b/>
                <w:bCs/>
                <w:sz w:val="14"/>
                <w:szCs w:val="14"/>
              </w:rPr>
            </w:pPr>
            <w:r w:rsidRPr="0062710D">
              <w:rPr>
                <w:rFonts w:ascii="Arial" w:hAnsi="Arial" w:cs="Arial"/>
                <w:sz w:val="14"/>
                <w:szCs w:val="14"/>
              </w:rPr>
              <w:t>-352.150.595</w:t>
            </w:r>
          </w:p>
        </w:tc>
        <w:tc>
          <w:tcPr>
            <w:tcW w:w="1276" w:type="dxa"/>
            <w:shd w:val="clear" w:color="auto" w:fill="auto"/>
            <w:vAlign w:val="center"/>
          </w:tcPr>
          <w:p w14:paraId="0A33CE43" w14:textId="4361A21E" w:rsidR="00062797" w:rsidRPr="0062710D" w:rsidRDefault="00062797" w:rsidP="00910E97">
            <w:pPr>
              <w:jc w:val="center"/>
              <w:rPr>
                <w:rFonts w:ascii="Arial" w:hAnsi="Arial" w:cs="Arial"/>
                <w:b/>
                <w:bCs/>
                <w:sz w:val="14"/>
                <w:szCs w:val="14"/>
              </w:rPr>
            </w:pPr>
            <w:r w:rsidRPr="0062710D">
              <w:rPr>
                <w:rFonts w:ascii="Arial" w:hAnsi="Arial" w:cs="Arial"/>
                <w:sz w:val="14"/>
                <w:szCs w:val="14"/>
              </w:rPr>
              <w:t>-90.858.292</w:t>
            </w:r>
          </w:p>
        </w:tc>
        <w:tc>
          <w:tcPr>
            <w:tcW w:w="1276" w:type="dxa"/>
            <w:shd w:val="clear" w:color="auto" w:fill="auto"/>
            <w:vAlign w:val="center"/>
          </w:tcPr>
          <w:p w14:paraId="007CA654" w14:textId="5B24CCB9" w:rsidR="00062797" w:rsidRPr="0062710D" w:rsidRDefault="00062797" w:rsidP="00910E97">
            <w:pPr>
              <w:jc w:val="center"/>
              <w:rPr>
                <w:rFonts w:ascii="Arial" w:hAnsi="Arial" w:cs="Arial"/>
                <w:b/>
                <w:bCs/>
                <w:sz w:val="14"/>
                <w:szCs w:val="14"/>
              </w:rPr>
            </w:pPr>
            <w:r w:rsidRPr="0062710D">
              <w:rPr>
                <w:rFonts w:ascii="Arial" w:hAnsi="Arial" w:cs="Arial"/>
                <w:sz w:val="14"/>
                <w:szCs w:val="14"/>
              </w:rPr>
              <w:t>-18.991.783</w:t>
            </w:r>
          </w:p>
        </w:tc>
        <w:tc>
          <w:tcPr>
            <w:tcW w:w="1275" w:type="dxa"/>
            <w:shd w:val="clear" w:color="auto" w:fill="auto"/>
            <w:vAlign w:val="center"/>
          </w:tcPr>
          <w:p w14:paraId="49058AA7" w14:textId="6E7441A4" w:rsidR="00062797" w:rsidRPr="0062710D" w:rsidRDefault="00062797" w:rsidP="00910E97">
            <w:pPr>
              <w:jc w:val="center"/>
              <w:rPr>
                <w:rFonts w:ascii="Arial" w:hAnsi="Arial" w:cs="Arial"/>
                <w:b/>
                <w:bCs/>
                <w:sz w:val="14"/>
                <w:szCs w:val="14"/>
              </w:rPr>
            </w:pPr>
            <w:r w:rsidRPr="0062710D">
              <w:rPr>
                <w:rFonts w:ascii="Arial" w:hAnsi="Arial" w:cs="Arial"/>
                <w:sz w:val="14"/>
                <w:szCs w:val="14"/>
              </w:rPr>
              <w:t>-588.998.691</w:t>
            </w:r>
          </w:p>
        </w:tc>
      </w:tr>
      <w:tr w:rsidR="0062710D" w:rsidRPr="0062710D" w14:paraId="5824DE4C" w14:textId="77777777" w:rsidTr="00910E97">
        <w:trPr>
          <w:trHeight w:val="348"/>
          <w:jc w:val="center"/>
        </w:trPr>
        <w:tc>
          <w:tcPr>
            <w:tcW w:w="1276" w:type="dxa"/>
            <w:vAlign w:val="center"/>
          </w:tcPr>
          <w:p w14:paraId="7BFBD43A" w14:textId="77777777" w:rsidR="00062797" w:rsidRPr="0062710D" w:rsidRDefault="00062797" w:rsidP="00062797">
            <w:pPr>
              <w:jc w:val="right"/>
              <w:rPr>
                <w:rFonts w:ascii="Arial" w:hAnsi="Arial" w:cs="Arial"/>
                <w:b/>
                <w:sz w:val="14"/>
                <w:szCs w:val="14"/>
              </w:rPr>
            </w:pPr>
            <w:r w:rsidRPr="0062710D">
              <w:rPr>
                <w:rFonts w:ascii="Arial" w:hAnsi="Arial" w:cs="Arial"/>
                <w:b/>
                <w:sz w:val="14"/>
                <w:szCs w:val="14"/>
              </w:rPr>
              <w:t>Entradas</w:t>
            </w:r>
          </w:p>
        </w:tc>
        <w:tc>
          <w:tcPr>
            <w:tcW w:w="1276" w:type="dxa"/>
            <w:vAlign w:val="center"/>
          </w:tcPr>
          <w:p w14:paraId="0709ABB0" w14:textId="13554EF7" w:rsidR="00062797" w:rsidRPr="0062710D" w:rsidRDefault="00062797" w:rsidP="00910E97">
            <w:pPr>
              <w:jc w:val="center"/>
              <w:rPr>
                <w:rFonts w:ascii="Arial" w:hAnsi="Arial" w:cs="Arial"/>
                <w:sz w:val="14"/>
                <w:szCs w:val="14"/>
              </w:rPr>
            </w:pPr>
            <w:r w:rsidRPr="0062710D">
              <w:rPr>
                <w:rFonts w:ascii="Arial" w:hAnsi="Arial" w:cs="Arial"/>
                <w:sz w:val="14"/>
                <w:szCs w:val="14"/>
              </w:rPr>
              <w:t>62.126.877.975</w:t>
            </w:r>
          </w:p>
        </w:tc>
        <w:tc>
          <w:tcPr>
            <w:tcW w:w="1276" w:type="dxa"/>
            <w:vAlign w:val="center"/>
          </w:tcPr>
          <w:p w14:paraId="190C20BC" w14:textId="3BF4CCDA" w:rsidR="00062797" w:rsidRPr="0062710D" w:rsidRDefault="00062797" w:rsidP="00910E97">
            <w:pPr>
              <w:jc w:val="center"/>
              <w:rPr>
                <w:rFonts w:ascii="Arial" w:hAnsi="Arial" w:cs="Arial"/>
                <w:sz w:val="14"/>
                <w:szCs w:val="14"/>
              </w:rPr>
            </w:pPr>
            <w:r w:rsidRPr="0062710D">
              <w:rPr>
                <w:rFonts w:ascii="Arial" w:hAnsi="Arial" w:cs="Arial"/>
                <w:sz w:val="14"/>
                <w:szCs w:val="14"/>
              </w:rPr>
              <w:t>19.984.417.016</w:t>
            </w:r>
          </w:p>
        </w:tc>
        <w:tc>
          <w:tcPr>
            <w:tcW w:w="1275" w:type="dxa"/>
            <w:vAlign w:val="center"/>
          </w:tcPr>
          <w:p w14:paraId="01507CB4" w14:textId="3D7EEF71" w:rsidR="00062797" w:rsidRPr="0062710D" w:rsidRDefault="00062797" w:rsidP="00910E97">
            <w:pPr>
              <w:jc w:val="center"/>
              <w:rPr>
                <w:rFonts w:ascii="Arial" w:hAnsi="Arial" w:cs="Arial"/>
                <w:sz w:val="14"/>
                <w:szCs w:val="14"/>
              </w:rPr>
            </w:pPr>
            <w:r w:rsidRPr="0062710D">
              <w:rPr>
                <w:rFonts w:ascii="Arial" w:hAnsi="Arial" w:cs="Arial"/>
                <w:sz w:val="14"/>
                <w:szCs w:val="14"/>
              </w:rPr>
              <w:t>55.563.809.837</w:t>
            </w:r>
          </w:p>
        </w:tc>
        <w:tc>
          <w:tcPr>
            <w:tcW w:w="1276" w:type="dxa"/>
            <w:vAlign w:val="center"/>
          </w:tcPr>
          <w:p w14:paraId="07CCC5E8" w14:textId="320F3D04" w:rsidR="00062797" w:rsidRPr="0062710D" w:rsidRDefault="00062797" w:rsidP="00910E97">
            <w:pPr>
              <w:jc w:val="center"/>
              <w:rPr>
                <w:rFonts w:ascii="Arial" w:hAnsi="Arial" w:cs="Arial"/>
                <w:sz w:val="14"/>
                <w:szCs w:val="14"/>
              </w:rPr>
            </w:pPr>
            <w:r w:rsidRPr="0062710D">
              <w:rPr>
                <w:rFonts w:ascii="Arial" w:hAnsi="Arial" w:cs="Arial"/>
                <w:sz w:val="14"/>
                <w:szCs w:val="14"/>
              </w:rPr>
              <w:t>64.285.728.165</w:t>
            </w:r>
          </w:p>
        </w:tc>
        <w:tc>
          <w:tcPr>
            <w:tcW w:w="1276" w:type="dxa"/>
            <w:vAlign w:val="center"/>
          </w:tcPr>
          <w:p w14:paraId="55D117D1" w14:textId="7ECD7DC2" w:rsidR="00062797" w:rsidRPr="0062710D" w:rsidRDefault="00062797" w:rsidP="00910E97">
            <w:pPr>
              <w:jc w:val="center"/>
              <w:rPr>
                <w:rFonts w:ascii="Arial" w:hAnsi="Arial" w:cs="Arial"/>
                <w:sz w:val="14"/>
                <w:szCs w:val="14"/>
              </w:rPr>
            </w:pPr>
            <w:r w:rsidRPr="0062710D">
              <w:rPr>
                <w:rFonts w:ascii="Arial" w:hAnsi="Arial" w:cs="Arial"/>
                <w:sz w:val="14"/>
                <w:szCs w:val="14"/>
              </w:rPr>
              <w:t>23.643.690.474</w:t>
            </w:r>
          </w:p>
        </w:tc>
        <w:tc>
          <w:tcPr>
            <w:tcW w:w="1276" w:type="dxa"/>
            <w:vAlign w:val="center"/>
          </w:tcPr>
          <w:p w14:paraId="518B9DA8" w14:textId="41C0FCAE" w:rsidR="00062797" w:rsidRPr="0062710D" w:rsidRDefault="00062797" w:rsidP="00910E97">
            <w:pPr>
              <w:jc w:val="center"/>
              <w:rPr>
                <w:rFonts w:ascii="Arial" w:hAnsi="Arial" w:cs="Arial"/>
                <w:sz w:val="14"/>
                <w:szCs w:val="14"/>
              </w:rPr>
            </w:pPr>
            <w:r w:rsidRPr="0062710D">
              <w:rPr>
                <w:rFonts w:ascii="Arial" w:hAnsi="Arial" w:cs="Arial"/>
                <w:sz w:val="14"/>
                <w:szCs w:val="14"/>
              </w:rPr>
              <w:t>14.873.829.205</w:t>
            </w:r>
          </w:p>
        </w:tc>
        <w:tc>
          <w:tcPr>
            <w:tcW w:w="1275" w:type="dxa"/>
            <w:vAlign w:val="center"/>
          </w:tcPr>
          <w:p w14:paraId="742C0767" w14:textId="5CFE6463" w:rsidR="00062797" w:rsidRPr="0062710D" w:rsidRDefault="00062797" w:rsidP="00910E97">
            <w:pPr>
              <w:jc w:val="center"/>
              <w:rPr>
                <w:rFonts w:ascii="Arial" w:hAnsi="Arial" w:cs="Arial"/>
                <w:sz w:val="14"/>
                <w:szCs w:val="14"/>
              </w:rPr>
            </w:pPr>
            <w:r w:rsidRPr="0062710D">
              <w:rPr>
                <w:rFonts w:ascii="Arial" w:hAnsi="Arial" w:cs="Arial"/>
                <w:sz w:val="14"/>
                <w:szCs w:val="14"/>
              </w:rPr>
              <w:t>240.478.352.672</w:t>
            </w:r>
          </w:p>
        </w:tc>
      </w:tr>
      <w:tr w:rsidR="0062710D" w:rsidRPr="0062710D" w14:paraId="75E11667" w14:textId="77777777" w:rsidTr="00910E97">
        <w:trPr>
          <w:trHeight w:val="348"/>
          <w:jc w:val="center"/>
        </w:trPr>
        <w:tc>
          <w:tcPr>
            <w:tcW w:w="1276" w:type="dxa"/>
            <w:vAlign w:val="center"/>
          </w:tcPr>
          <w:p w14:paraId="1970E865" w14:textId="77777777" w:rsidR="00062797" w:rsidRPr="0062710D" w:rsidRDefault="00062797" w:rsidP="00062797">
            <w:pPr>
              <w:jc w:val="right"/>
              <w:rPr>
                <w:rFonts w:ascii="Arial" w:hAnsi="Arial" w:cs="Arial"/>
                <w:b/>
                <w:sz w:val="14"/>
                <w:szCs w:val="14"/>
              </w:rPr>
            </w:pPr>
            <w:r w:rsidRPr="0062710D">
              <w:rPr>
                <w:rFonts w:ascii="Arial" w:hAnsi="Arial" w:cs="Arial"/>
                <w:b/>
                <w:sz w:val="14"/>
                <w:szCs w:val="14"/>
              </w:rPr>
              <w:t>Salidas</w:t>
            </w:r>
          </w:p>
        </w:tc>
        <w:tc>
          <w:tcPr>
            <w:tcW w:w="1276" w:type="dxa"/>
            <w:vAlign w:val="center"/>
          </w:tcPr>
          <w:p w14:paraId="1B903BEB" w14:textId="00741FA0" w:rsidR="00062797" w:rsidRPr="0062710D" w:rsidRDefault="00062797" w:rsidP="00910E97">
            <w:pPr>
              <w:jc w:val="center"/>
              <w:rPr>
                <w:rFonts w:ascii="Arial" w:hAnsi="Arial" w:cs="Arial"/>
                <w:sz w:val="14"/>
                <w:szCs w:val="14"/>
              </w:rPr>
            </w:pPr>
            <w:r w:rsidRPr="0062710D">
              <w:rPr>
                <w:rFonts w:ascii="Arial" w:hAnsi="Arial" w:cs="Arial"/>
                <w:sz w:val="14"/>
                <w:szCs w:val="14"/>
              </w:rPr>
              <w:t>62.939.434.785</w:t>
            </w:r>
          </w:p>
        </w:tc>
        <w:tc>
          <w:tcPr>
            <w:tcW w:w="1276" w:type="dxa"/>
            <w:vAlign w:val="center"/>
          </w:tcPr>
          <w:p w14:paraId="075755F4" w14:textId="1CF55AFF" w:rsidR="00062797" w:rsidRPr="0062710D" w:rsidRDefault="00062797" w:rsidP="00910E97">
            <w:pPr>
              <w:jc w:val="center"/>
              <w:rPr>
                <w:rFonts w:ascii="Arial" w:hAnsi="Arial" w:cs="Arial"/>
                <w:sz w:val="14"/>
                <w:szCs w:val="14"/>
              </w:rPr>
            </w:pPr>
            <w:r w:rsidRPr="0062710D">
              <w:rPr>
                <w:rFonts w:ascii="Arial" w:hAnsi="Arial" w:cs="Arial"/>
                <w:sz w:val="14"/>
                <w:szCs w:val="14"/>
              </w:rPr>
              <w:t>20.666.826.165</w:t>
            </w:r>
          </w:p>
        </w:tc>
        <w:tc>
          <w:tcPr>
            <w:tcW w:w="1275" w:type="dxa"/>
            <w:vAlign w:val="center"/>
          </w:tcPr>
          <w:p w14:paraId="3C89323B" w14:textId="134BD928" w:rsidR="00062797" w:rsidRPr="0062710D" w:rsidRDefault="00062797" w:rsidP="00910E97">
            <w:pPr>
              <w:jc w:val="center"/>
              <w:rPr>
                <w:rFonts w:ascii="Arial" w:hAnsi="Arial" w:cs="Arial"/>
                <w:sz w:val="14"/>
                <w:szCs w:val="14"/>
              </w:rPr>
            </w:pPr>
            <w:r w:rsidRPr="0062710D">
              <w:rPr>
                <w:rFonts w:ascii="Arial" w:hAnsi="Arial" w:cs="Arial"/>
                <w:sz w:val="14"/>
                <w:szCs w:val="14"/>
              </w:rPr>
              <w:t>55.275.799.914</w:t>
            </w:r>
          </w:p>
        </w:tc>
        <w:tc>
          <w:tcPr>
            <w:tcW w:w="1276" w:type="dxa"/>
            <w:vAlign w:val="center"/>
          </w:tcPr>
          <w:p w14:paraId="7658CAEF" w14:textId="46605E4E" w:rsidR="00062797" w:rsidRPr="0062710D" w:rsidRDefault="00062797" w:rsidP="00910E97">
            <w:pPr>
              <w:jc w:val="center"/>
              <w:rPr>
                <w:rFonts w:ascii="Arial" w:hAnsi="Arial" w:cs="Arial"/>
                <w:sz w:val="14"/>
                <w:szCs w:val="14"/>
              </w:rPr>
            </w:pPr>
            <w:r w:rsidRPr="0062710D">
              <w:rPr>
                <w:rFonts w:ascii="Arial" w:hAnsi="Arial" w:cs="Arial"/>
                <w:sz w:val="14"/>
                <w:szCs w:val="14"/>
              </w:rPr>
              <w:t>64.124.976.469</w:t>
            </w:r>
          </w:p>
        </w:tc>
        <w:tc>
          <w:tcPr>
            <w:tcW w:w="1276" w:type="dxa"/>
            <w:vAlign w:val="center"/>
          </w:tcPr>
          <w:p w14:paraId="476E3A4B" w14:textId="206FA130" w:rsidR="00062797" w:rsidRPr="0062710D" w:rsidRDefault="00062797" w:rsidP="00910E97">
            <w:pPr>
              <w:jc w:val="center"/>
              <w:rPr>
                <w:rFonts w:ascii="Arial" w:hAnsi="Arial" w:cs="Arial"/>
                <w:sz w:val="14"/>
                <w:szCs w:val="14"/>
              </w:rPr>
            </w:pPr>
            <w:r w:rsidRPr="0062710D">
              <w:rPr>
                <w:rFonts w:ascii="Arial" w:hAnsi="Arial" w:cs="Arial"/>
                <w:sz w:val="14"/>
                <w:szCs w:val="14"/>
              </w:rPr>
              <w:t>23.337.171.522</w:t>
            </w:r>
          </w:p>
        </w:tc>
        <w:tc>
          <w:tcPr>
            <w:tcW w:w="1276" w:type="dxa"/>
            <w:vAlign w:val="center"/>
          </w:tcPr>
          <w:p w14:paraId="6ABF38AB" w14:textId="6584E286" w:rsidR="00062797" w:rsidRPr="0062710D" w:rsidRDefault="00062797" w:rsidP="00910E97">
            <w:pPr>
              <w:jc w:val="center"/>
              <w:rPr>
                <w:rFonts w:ascii="Arial" w:hAnsi="Arial" w:cs="Arial"/>
                <w:sz w:val="14"/>
                <w:szCs w:val="14"/>
              </w:rPr>
            </w:pPr>
            <w:r w:rsidRPr="0062710D">
              <w:rPr>
                <w:rFonts w:ascii="Arial" w:hAnsi="Arial" w:cs="Arial"/>
                <w:sz w:val="14"/>
                <w:szCs w:val="14"/>
              </w:rPr>
              <w:t>14.601.587.853</w:t>
            </w:r>
          </w:p>
        </w:tc>
        <w:tc>
          <w:tcPr>
            <w:tcW w:w="1275" w:type="dxa"/>
            <w:vAlign w:val="center"/>
          </w:tcPr>
          <w:p w14:paraId="44EDE7C4" w14:textId="49A010B6" w:rsidR="00062797" w:rsidRPr="0062710D" w:rsidRDefault="00062797" w:rsidP="00910E97">
            <w:pPr>
              <w:jc w:val="center"/>
              <w:rPr>
                <w:rFonts w:ascii="Arial" w:hAnsi="Arial" w:cs="Arial"/>
                <w:sz w:val="14"/>
                <w:szCs w:val="14"/>
              </w:rPr>
            </w:pPr>
            <w:r w:rsidRPr="0062710D">
              <w:rPr>
                <w:rFonts w:ascii="Arial" w:hAnsi="Arial" w:cs="Arial"/>
                <w:sz w:val="14"/>
                <w:szCs w:val="14"/>
              </w:rPr>
              <w:t>240.945.796.708</w:t>
            </w:r>
          </w:p>
        </w:tc>
      </w:tr>
      <w:tr w:rsidR="0062710D" w:rsidRPr="0062710D" w14:paraId="73E91798" w14:textId="77777777" w:rsidTr="00910E97">
        <w:trPr>
          <w:trHeight w:val="348"/>
          <w:jc w:val="center"/>
        </w:trPr>
        <w:tc>
          <w:tcPr>
            <w:tcW w:w="1276" w:type="dxa"/>
            <w:vAlign w:val="center"/>
          </w:tcPr>
          <w:p w14:paraId="57256334" w14:textId="77777777" w:rsidR="00062797" w:rsidRPr="0062710D" w:rsidRDefault="00062797" w:rsidP="00062797">
            <w:pPr>
              <w:jc w:val="right"/>
              <w:rPr>
                <w:rFonts w:ascii="Arial" w:hAnsi="Arial" w:cs="Arial"/>
                <w:b/>
                <w:sz w:val="14"/>
                <w:szCs w:val="14"/>
              </w:rPr>
            </w:pPr>
            <w:r w:rsidRPr="0062710D">
              <w:rPr>
                <w:rFonts w:ascii="Arial" w:hAnsi="Arial" w:cs="Arial"/>
                <w:b/>
                <w:sz w:val="14"/>
                <w:szCs w:val="14"/>
              </w:rPr>
              <w:t>Existencias GNL finales</w:t>
            </w:r>
          </w:p>
        </w:tc>
        <w:tc>
          <w:tcPr>
            <w:tcW w:w="1276" w:type="dxa"/>
            <w:vAlign w:val="center"/>
          </w:tcPr>
          <w:p w14:paraId="505BB069" w14:textId="55DBB2B2" w:rsidR="00062797" w:rsidRPr="0062710D" w:rsidRDefault="00062797" w:rsidP="00910E97">
            <w:pPr>
              <w:jc w:val="center"/>
              <w:rPr>
                <w:rFonts w:ascii="Arial" w:hAnsi="Arial" w:cs="Arial"/>
                <w:sz w:val="14"/>
                <w:szCs w:val="14"/>
              </w:rPr>
            </w:pPr>
            <w:r w:rsidRPr="0062710D">
              <w:rPr>
                <w:rFonts w:ascii="Arial" w:hAnsi="Arial" w:cs="Arial"/>
                <w:sz w:val="14"/>
                <w:szCs w:val="14"/>
              </w:rPr>
              <w:t>3.914.593.437</w:t>
            </w:r>
          </w:p>
        </w:tc>
        <w:tc>
          <w:tcPr>
            <w:tcW w:w="1276" w:type="dxa"/>
            <w:vAlign w:val="center"/>
          </w:tcPr>
          <w:p w14:paraId="688B82E9" w14:textId="40E98F4B" w:rsidR="00062797" w:rsidRPr="0062710D" w:rsidRDefault="00062797" w:rsidP="00910E97">
            <w:pPr>
              <w:jc w:val="center"/>
              <w:rPr>
                <w:rFonts w:ascii="Arial" w:hAnsi="Arial" w:cs="Arial"/>
                <w:sz w:val="14"/>
                <w:szCs w:val="14"/>
              </w:rPr>
            </w:pPr>
            <w:r w:rsidRPr="0062710D">
              <w:rPr>
                <w:rFonts w:ascii="Arial" w:hAnsi="Arial" w:cs="Arial"/>
                <w:sz w:val="14"/>
                <w:szCs w:val="14"/>
              </w:rPr>
              <w:t>2.399.776.776</w:t>
            </w:r>
          </w:p>
        </w:tc>
        <w:tc>
          <w:tcPr>
            <w:tcW w:w="1275" w:type="dxa"/>
            <w:vAlign w:val="center"/>
          </w:tcPr>
          <w:p w14:paraId="4B2A0B85" w14:textId="1D06817A" w:rsidR="00062797" w:rsidRPr="0062710D" w:rsidRDefault="00062797" w:rsidP="00910E97">
            <w:pPr>
              <w:jc w:val="center"/>
              <w:rPr>
                <w:rFonts w:ascii="Arial" w:hAnsi="Arial" w:cs="Arial"/>
                <w:sz w:val="14"/>
                <w:szCs w:val="14"/>
              </w:rPr>
            </w:pPr>
            <w:r w:rsidRPr="0062710D">
              <w:rPr>
                <w:rFonts w:ascii="Arial" w:hAnsi="Arial" w:cs="Arial"/>
                <w:sz w:val="14"/>
                <w:szCs w:val="14"/>
              </w:rPr>
              <w:t>3.671.074.050</w:t>
            </w:r>
          </w:p>
        </w:tc>
        <w:tc>
          <w:tcPr>
            <w:tcW w:w="1276" w:type="dxa"/>
            <w:vAlign w:val="center"/>
          </w:tcPr>
          <w:p w14:paraId="2708D638" w14:textId="67DB3B30" w:rsidR="00062797" w:rsidRPr="0062710D" w:rsidRDefault="00062797" w:rsidP="00910E97">
            <w:pPr>
              <w:jc w:val="center"/>
              <w:rPr>
                <w:rFonts w:ascii="Arial" w:hAnsi="Arial" w:cs="Arial"/>
                <w:sz w:val="14"/>
                <w:szCs w:val="14"/>
              </w:rPr>
            </w:pPr>
            <w:r w:rsidRPr="0062710D">
              <w:rPr>
                <w:rFonts w:ascii="Arial" w:hAnsi="Arial" w:cs="Arial"/>
                <w:sz w:val="14"/>
                <w:szCs w:val="14"/>
              </w:rPr>
              <w:t>1.947.636.658</w:t>
            </w:r>
          </w:p>
        </w:tc>
        <w:tc>
          <w:tcPr>
            <w:tcW w:w="1276" w:type="dxa"/>
            <w:vAlign w:val="center"/>
          </w:tcPr>
          <w:p w14:paraId="190EE136" w14:textId="5AF8CAAE" w:rsidR="00062797" w:rsidRPr="0062710D" w:rsidRDefault="00062797" w:rsidP="00910E97">
            <w:pPr>
              <w:jc w:val="center"/>
              <w:rPr>
                <w:rFonts w:ascii="Arial" w:hAnsi="Arial" w:cs="Arial"/>
                <w:sz w:val="14"/>
                <w:szCs w:val="14"/>
              </w:rPr>
            </w:pPr>
            <w:r w:rsidRPr="0062710D">
              <w:rPr>
                <w:rFonts w:ascii="Arial" w:hAnsi="Arial" w:cs="Arial"/>
                <w:sz w:val="14"/>
                <w:szCs w:val="14"/>
              </w:rPr>
              <w:t>2.098.620.530</w:t>
            </w:r>
          </w:p>
        </w:tc>
        <w:tc>
          <w:tcPr>
            <w:tcW w:w="1276" w:type="dxa"/>
            <w:vAlign w:val="center"/>
          </w:tcPr>
          <w:p w14:paraId="6AE2974D" w14:textId="12B9564A" w:rsidR="00062797" w:rsidRPr="0062710D" w:rsidRDefault="00062797" w:rsidP="00910E97">
            <w:pPr>
              <w:jc w:val="center"/>
              <w:rPr>
                <w:rFonts w:ascii="Arial" w:hAnsi="Arial" w:cs="Arial"/>
                <w:sz w:val="14"/>
                <w:szCs w:val="14"/>
              </w:rPr>
            </w:pPr>
            <w:r w:rsidRPr="0062710D">
              <w:rPr>
                <w:rFonts w:ascii="Arial" w:hAnsi="Arial" w:cs="Arial"/>
                <w:sz w:val="14"/>
                <w:szCs w:val="14"/>
              </w:rPr>
              <w:t>1.988.559.144</w:t>
            </w:r>
          </w:p>
        </w:tc>
        <w:tc>
          <w:tcPr>
            <w:tcW w:w="1275" w:type="dxa"/>
            <w:vAlign w:val="center"/>
          </w:tcPr>
          <w:p w14:paraId="11D35824" w14:textId="2F8C22C3" w:rsidR="00062797" w:rsidRPr="0062710D" w:rsidRDefault="00062797" w:rsidP="00910E97">
            <w:pPr>
              <w:jc w:val="center"/>
              <w:rPr>
                <w:rFonts w:ascii="Arial" w:hAnsi="Arial" w:cs="Arial"/>
                <w:sz w:val="14"/>
                <w:szCs w:val="14"/>
              </w:rPr>
            </w:pPr>
            <w:r w:rsidRPr="0062710D">
              <w:rPr>
                <w:rFonts w:ascii="Arial" w:hAnsi="Arial" w:cs="Arial"/>
                <w:sz w:val="14"/>
                <w:szCs w:val="14"/>
              </w:rPr>
              <w:t>16.020.260.595</w:t>
            </w:r>
          </w:p>
        </w:tc>
      </w:tr>
      <w:tr w:rsidR="0062710D" w:rsidRPr="0062710D" w14:paraId="120ECEB4" w14:textId="77777777" w:rsidTr="00910E97">
        <w:trPr>
          <w:trHeight w:val="348"/>
          <w:jc w:val="center"/>
        </w:trPr>
        <w:tc>
          <w:tcPr>
            <w:tcW w:w="1276" w:type="dxa"/>
            <w:vAlign w:val="center"/>
          </w:tcPr>
          <w:p w14:paraId="503B1D1A" w14:textId="77777777" w:rsidR="00062797" w:rsidRPr="0062710D" w:rsidRDefault="00062797" w:rsidP="00062797">
            <w:pPr>
              <w:jc w:val="right"/>
              <w:rPr>
                <w:rFonts w:ascii="Arial" w:hAnsi="Arial" w:cs="Arial"/>
                <w:b/>
                <w:sz w:val="14"/>
                <w:szCs w:val="14"/>
              </w:rPr>
            </w:pPr>
            <w:r w:rsidRPr="0062710D">
              <w:rPr>
                <w:rFonts w:ascii="Arial" w:hAnsi="Arial" w:cs="Arial"/>
                <w:b/>
                <w:sz w:val="14"/>
                <w:szCs w:val="14"/>
              </w:rPr>
              <w:t>Existencias GNL iniciales</w:t>
            </w:r>
          </w:p>
        </w:tc>
        <w:tc>
          <w:tcPr>
            <w:tcW w:w="1276" w:type="dxa"/>
            <w:vAlign w:val="center"/>
          </w:tcPr>
          <w:p w14:paraId="06D84418" w14:textId="60FF9816" w:rsidR="00062797" w:rsidRPr="0062710D" w:rsidRDefault="00062797" w:rsidP="00910E97">
            <w:pPr>
              <w:jc w:val="center"/>
              <w:rPr>
                <w:rFonts w:ascii="Arial" w:hAnsi="Arial" w:cs="Arial"/>
                <w:sz w:val="14"/>
                <w:szCs w:val="14"/>
              </w:rPr>
            </w:pPr>
            <w:r w:rsidRPr="0062710D">
              <w:rPr>
                <w:rFonts w:ascii="Arial" w:hAnsi="Arial" w:cs="Arial"/>
                <w:sz w:val="14"/>
                <w:szCs w:val="14"/>
              </w:rPr>
              <w:t>4.697.152.101</w:t>
            </w:r>
          </w:p>
        </w:tc>
        <w:tc>
          <w:tcPr>
            <w:tcW w:w="1276" w:type="dxa"/>
            <w:vAlign w:val="center"/>
          </w:tcPr>
          <w:p w14:paraId="31B8F16F" w14:textId="1D5C98CA" w:rsidR="00062797" w:rsidRPr="0062710D" w:rsidRDefault="00062797" w:rsidP="00910E97">
            <w:pPr>
              <w:jc w:val="center"/>
              <w:rPr>
                <w:rFonts w:ascii="Arial" w:hAnsi="Arial" w:cs="Arial"/>
                <w:sz w:val="14"/>
                <w:szCs w:val="14"/>
              </w:rPr>
            </w:pPr>
            <w:r w:rsidRPr="0062710D">
              <w:rPr>
                <w:rFonts w:ascii="Arial" w:hAnsi="Arial" w:cs="Arial"/>
                <w:sz w:val="14"/>
                <w:szCs w:val="14"/>
              </w:rPr>
              <w:t>3.044.108.798</w:t>
            </w:r>
          </w:p>
        </w:tc>
        <w:tc>
          <w:tcPr>
            <w:tcW w:w="1275" w:type="dxa"/>
            <w:vAlign w:val="center"/>
          </w:tcPr>
          <w:p w14:paraId="1F130951" w14:textId="2EC41FBB" w:rsidR="00062797" w:rsidRPr="0062710D" w:rsidRDefault="00062797" w:rsidP="00910E97">
            <w:pPr>
              <w:jc w:val="center"/>
              <w:rPr>
                <w:rFonts w:ascii="Arial" w:hAnsi="Arial" w:cs="Arial"/>
                <w:sz w:val="14"/>
                <w:szCs w:val="14"/>
              </w:rPr>
            </w:pPr>
            <w:r w:rsidRPr="0062710D">
              <w:rPr>
                <w:rFonts w:ascii="Arial" w:hAnsi="Arial" w:cs="Arial"/>
                <w:sz w:val="14"/>
                <w:szCs w:val="14"/>
              </w:rPr>
              <w:t>3.329.225.661</w:t>
            </w:r>
          </w:p>
        </w:tc>
        <w:tc>
          <w:tcPr>
            <w:tcW w:w="1276" w:type="dxa"/>
            <w:vAlign w:val="center"/>
          </w:tcPr>
          <w:p w14:paraId="385921AC" w14:textId="2B22B874" w:rsidR="00062797" w:rsidRPr="0062710D" w:rsidRDefault="00062797" w:rsidP="00910E97">
            <w:pPr>
              <w:jc w:val="center"/>
              <w:rPr>
                <w:rFonts w:ascii="Arial" w:hAnsi="Arial" w:cs="Arial"/>
                <w:sz w:val="14"/>
                <w:szCs w:val="14"/>
              </w:rPr>
            </w:pPr>
            <w:r w:rsidRPr="0062710D">
              <w:rPr>
                <w:rFonts w:ascii="Arial" w:hAnsi="Arial" w:cs="Arial"/>
                <w:sz w:val="14"/>
                <w:szCs w:val="14"/>
              </w:rPr>
              <w:t>1.443.650.541</w:t>
            </w:r>
          </w:p>
        </w:tc>
        <w:tc>
          <w:tcPr>
            <w:tcW w:w="1276" w:type="dxa"/>
            <w:vAlign w:val="center"/>
          </w:tcPr>
          <w:p w14:paraId="4E6D94A2" w14:textId="35DD05F7" w:rsidR="00062797" w:rsidRPr="0062710D" w:rsidRDefault="00062797" w:rsidP="00910E97">
            <w:pPr>
              <w:jc w:val="center"/>
              <w:rPr>
                <w:rFonts w:ascii="Arial" w:hAnsi="Arial" w:cs="Arial"/>
                <w:sz w:val="14"/>
                <w:szCs w:val="14"/>
              </w:rPr>
            </w:pPr>
            <w:r w:rsidRPr="0062710D">
              <w:rPr>
                <w:rFonts w:ascii="Arial" w:hAnsi="Arial" w:cs="Arial"/>
                <w:sz w:val="14"/>
                <w:szCs w:val="14"/>
              </w:rPr>
              <w:t>1.702.250.555</w:t>
            </w:r>
          </w:p>
        </w:tc>
        <w:tc>
          <w:tcPr>
            <w:tcW w:w="1276" w:type="dxa"/>
            <w:vAlign w:val="center"/>
          </w:tcPr>
          <w:p w14:paraId="5CEBD9D3" w14:textId="1502EBD1" w:rsidR="00062797" w:rsidRPr="0062710D" w:rsidRDefault="00062797" w:rsidP="00910E97">
            <w:pPr>
              <w:jc w:val="center"/>
              <w:rPr>
                <w:rFonts w:ascii="Arial" w:hAnsi="Arial" w:cs="Arial"/>
                <w:sz w:val="14"/>
                <w:szCs w:val="14"/>
              </w:rPr>
            </w:pPr>
            <w:r w:rsidRPr="0062710D">
              <w:rPr>
                <w:rFonts w:ascii="Arial" w:hAnsi="Arial" w:cs="Arial"/>
                <w:sz w:val="14"/>
                <w:szCs w:val="14"/>
              </w:rPr>
              <w:t>1.697.406.898</w:t>
            </w:r>
          </w:p>
        </w:tc>
        <w:tc>
          <w:tcPr>
            <w:tcW w:w="1275" w:type="dxa"/>
            <w:vAlign w:val="center"/>
          </w:tcPr>
          <w:p w14:paraId="5F105EB9" w14:textId="01E8EF55" w:rsidR="00062797" w:rsidRPr="0062710D" w:rsidRDefault="00062797" w:rsidP="00910E97">
            <w:pPr>
              <w:jc w:val="center"/>
              <w:rPr>
                <w:rFonts w:ascii="Arial" w:hAnsi="Arial" w:cs="Arial"/>
                <w:sz w:val="14"/>
                <w:szCs w:val="14"/>
              </w:rPr>
            </w:pPr>
            <w:r w:rsidRPr="0062710D">
              <w:rPr>
                <w:rFonts w:ascii="Arial" w:hAnsi="Arial" w:cs="Arial"/>
                <w:sz w:val="14"/>
                <w:szCs w:val="14"/>
              </w:rPr>
              <w:t>15.913.794.554</w:t>
            </w:r>
          </w:p>
        </w:tc>
      </w:tr>
      <w:tr w:rsidR="0062710D" w:rsidRPr="0062710D" w14:paraId="7D6078B5" w14:textId="77777777" w:rsidTr="00910E97">
        <w:trPr>
          <w:trHeight w:val="348"/>
          <w:jc w:val="center"/>
        </w:trPr>
        <w:tc>
          <w:tcPr>
            <w:tcW w:w="1276" w:type="dxa"/>
            <w:vAlign w:val="center"/>
          </w:tcPr>
          <w:p w14:paraId="5D1C8DA8" w14:textId="77777777" w:rsidR="00062797" w:rsidRPr="0062710D" w:rsidRDefault="00062797" w:rsidP="00062797">
            <w:pPr>
              <w:ind w:left="-108" w:right="-108"/>
              <w:jc w:val="right"/>
              <w:rPr>
                <w:rFonts w:ascii="Arial" w:hAnsi="Arial" w:cs="Arial"/>
                <w:b/>
                <w:sz w:val="14"/>
                <w:szCs w:val="14"/>
              </w:rPr>
            </w:pPr>
            <w:r w:rsidRPr="0062710D">
              <w:rPr>
                <w:rFonts w:ascii="Arial" w:hAnsi="Arial" w:cs="Arial"/>
                <w:b/>
                <w:sz w:val="14"/>
                <w:szCs w:val="14"/>
              </w:rPr>
              <w:t>Autoconsumos</w:t>
            </w:r>
          </w:p>
        </w:tc>
        <w:tc>
          <w:tcPr>
            <w:tcW w:w="1276" w:type="dxa"/>
            <w:vAlign w:val="center"/>
          </w:tcPr>
          <w:p w14:paraId="2B733DB3" w14:textId="012124D3" w:rsidR="00062797" w:rsidRPr="0062710D" w:rsidRDefault="00062797" w:rsidP="00910E97">
            <w:pPr>
              <w:jc w:val="center"/>
              <w:rPr>
                <w:rFonts w:ascii="Arial" w:hAnsi="Arial" w:cs="Arial"/>
                <w:sz w:val="14"/>
                <w:szCs w:val="14"/>
              </w:rPr>
            </w:pPr>
            <w:r w:rsidRPr="0062710D">
              <w:rPr>
                <w:rFonts w:ascii="Arial" w:hAnsi="Arial" w:cs="Arial"/>
                <w:sz w:val="14"/>
                <w:szCs w:val="14"/>
              </w:rPr>
              <w:t>1.227.808</w:t>
            </w:r>
          </w:p>
        </w:tc>
        <w:tc>
          <w:tcPr>
            <w:tcW w:w="1276" w:type="dxa"/>
            <w:vAlign w:val="center"/>
          </w:tcPr>
          <w:p w14:paraId="7F12C36E" w14:textId="47665557" w:rsidR="00062797" w:rsidRPr="0062710D" w:rsidRDefault="00062797" w:rsidP="00910E97">
            <w:pPr>
              <w:jc w:val="center"/>
              <w:rPr>
                <w:rFonts w:ascii="Arial" w:hAnsi="Arial" w:cs="Arial"/>
                <w:sz w:val="14"/>
                <w:szCs w:val="14"/>
              </w:rPr>
            </w:pPr>
            <w:r w:rsidRPr="0062710D">
              <w:rPr>
                <w:rFonts w:ascii="Arial" w:hAnsi="Arial" w:cs="Arial"/>
                <w:sz w:val="14"/>
                <w:szCs w:val="14"/>
              </w:rPr>
              <w:t>1.531.424</w:t>
            </w:r>
          </w:p>
        </w:tc>
        <w:tc>
          <w:tcPr>
            <w:tcW w:w="1275" w:type="dxa"/>
            <w:vAlign w:val="center"/>
          </w:tcPr>
          <w:p w14:paraId="0DE05723" w14:textId="50F82A9B" w:rsidR="00062797" w:rsidRPr="0062710D" w:rsidRDefault="00062797" w:rsidP="00910E97">
            <w:pPr>
              <w:jc w:val="center"/>
              <w:rPr>
                <w:rFonts w:ascii="Arial" w:hAnsi="Arial" w:cs="Arial"/>
                <w:sz w:val="14"/>
                <w:szCs w:val="14"/>
              </w:rPr>
            </w:pPr>
            <w:r w:rsidRPr="0062710D">
              <w:rPr>
                <w:rFonts w:ascii="Arial" w:hAnsi="Arial" w:cs="Arial"/>
                <w:sz w:val="14"/>
                <w:szCs w:val="14"/>
              </w:rPr>
              <w:t>2.325.050</w:t>
            </w:r>
          </w:p>
        </w:tc>
        <w:tc>
          <w:tcPr>
            <w:tcW w:w="1276" w:type="dxa"/>
            <w:vAlign w:val="center"/>
          </w:tcPr>
          <w:p w14:paraId="727B9D13" w14:textId="714E897E" w:rsidR="00062797" w:rsidRPr="0062710D" w:rsidRDefault="00062797" w:rsidP="00910E97">
            <w:pPr>
              <w:jc w:val="center"/>
              <w:rPr>
                <w:rFonts w:ascii="Arial" w:hAnsi="Arial" w:cs="Arial"/>
                <w:sz w:val="14"/>
                <w:szCs w:val="14"/>
              </w:rPr>
            </w:pPr>
            <w:r w:rsidRPr="0062710D">
              <w:rPr>
                <w:rFonts w:ascii="Arial" w:hAnsi="Arial" w:cs="Arial"/>
                <w:sz w:val="14"/>
                <w:szCs w:val="14"/>
              </w:rPr>
              <w:t>8.916.174</w:t>
            </w:r>
          </w:p>
        </w:tc>
        <w:tc>
          <w:tcPr>
            <w:tcW w:w="1276" w:type="dxa"/>
            <w:vAlign w:val="center"/>
          </w:tcPr>
          <w:p w14:paraId="0B45C70F" w14:textId="57F62DD8" w:rsidR="00062797" w:rsidRPr="0062710D" w:rsidRDefault="00062797" w:rsidP="00910E97">
            <w:pPr>
              <w:jc w:val="center"/>
              <w:rPr>
                <w:rFonts w:ascii="Arial" w:hAnsi="Arial" w:cs="Arial"/>
                <w:sz w:val="14"/>
                <w:szCs w:val="14"/>
              </w:rPr>
            </w:pPr>
            <w:r w:rsidRPr="0062710D">
              <w:rPr>
                <w:rFonts w:ascii="Arial" w:hAnsi="Arial" w:cs="Arial"/>
                <w:sz w:val="14"/>
                <w:szCs w:val="14"/>
              </w:rPr>
              <w:t>1.007.269</w:t>
            </w:r>
          </w:p>
        </w:tc>
        <w:tc>
          <w:tcPr>
            <w:tcW w:w="1276" w:type="dxa"/>
            <w:vAlign w:val="center"/>
          </w:tcPr>
          <w:p w14:paraId="0EF24652" w14:textId="1643B3C0" w:rsidR="00062797" w:rsidRPr="0062710D" w:rsidRDefault="00062797" w:rsidP="00910E97">
            <w:pPr>
              <w:jc w:val="center"/>
              <w:rPr>
                <w:rFonts w:ascii="Arial" w:hAnsi="Arial" w:cs="Arial"/>
                <w:sz w:val="14"/>
                <w:szCs w:val="14"/>
              </w:rPr>
            </w:pPr>
            <w:r w:rsidRPr="0062710D">
              <w:rPr>
                <w:rFonts w:ascii="Arial" w:hAnsi="Arial" w:cs="Arial"/>
                <w:sz w:val="14"/>
                <w:szCs w:val="14"/>
              </w:rPr>
              <w:t>80.889</w:t>
            </w:r>
          </w:p>
        </w:tc>
        <w:tc>
          <w:tcPr>
            <w:tcW w:w="1275" w:type="dxa"/>
            <w:vAlign w:val="center"/>
          </w:tcPr>
          <w:p w14:paraId="7F807048" w14:textId="24C13EDD" w:rsidR="00062797" w:rsidRPr="0062710D" w:rsidRDefault="00062797" w:rsidP="00910E97">
            <w:pPr>
              <w:jc w:val="center"/>
              <w:rPr>
                <w:rFonts w:ascii="Arial" w:hAnsi="Arial" w:cs="Arial"/>
                <w:sz w:val="14"/>
                <w:szCs w:val="14"/>
              </w:rPr>
            </w:pPr>
            <w:r w:rsidRPr="0062710D">
              <w:rPr>
                <w:rFonts w:ascii="Arial" w:hAnsi="Arial" w:cs="Arial"/>
                <w:sz w:val="14"/>
                <w:szCs w:val="14"/>
              </w:rPr>
              <w:t>15.088.614</w:t>
            </w:r>
          </w:p>
        </w:tc>
      </w:tr>
    </w:tbl>
    <w:bookmarkEnd w:id="8"/>
    <w:p w14:paraId="1D845176" w14:textId="65DD2130" w:rsidR="00C21AFB" w:rsidRPr="0062710D" w:rsidRDefault="00C21AFB" w:rsidP="00C21AFB">
      <w:pPr>
        <w:jc w:val="center"/>
        <w:rPr>
          <w:rFonts w:ascii="Arial" w:hAnsi="Arial" w:cs="Arial"/>
          <w:sz w:val="20"/>
          <w:szCs w:val="20"/>
        </w:rPr>
      </w:pPr>
      <w:r w:rsidRPr="0062710D">
        <w:rPr>
          <w:rFonts w:ascii="Arial" w:hAnsi="Arial" w:cs="Arial"/>
          <w:sz w:val="20"/>
          <w:szCs w:val="20"/>
        </w:rPr>
        <w:t xml:space="preserve">Figura </w:t>
      </w:r>
      <w:r w:rsidR="009E0541">
        <w:rPr>
          <w:rFonts w:ascii="Arial" w:hAnsi="Arial" w:cs="Arial"/>
          <w:sz w:val="20"/>
          <w:szCs w:val="20"/>
        </w:rPr>
        <w:t>6</w:t>
      </w:r>
      <w:r w:rsidRPr="0062710D">
        <w:rPr>
          <w:rFonts w:ascii="Arial" w:hAnsi="Arial" w:cs="Arial"/>
          <w:sz w:val="20"/>
          <w:szCs w:val="20"/>
        </w:rPr>
        <w:t xml:space="preserve">: </w:t>
      </w:r>
      <w:r w:rsidR="00F86825" w:rsidRPr="0062710D">
        <w:rPr>
          <w:rFonts w:ascii="Arial" w:hAnsi="Arial" w:cs="Arial"/>
          <w:sz w:val="20"/>
          <w:szCs w:val="20"/>
        </w:rPr>
        <w:t xml:space="preserve">Cálculo de </w:t>
      </w:r>
      <w:r w:rsidR="00571E78">
        <w:rPr>
          <w:rFonts w:ascii="Arial" w:hAnsi="Arial" w:cs="Arial"/>
          <w:sz w:val="20"/>
          <w:szCs w:val="20"/>
        </w:rPr>
        <w:t xml:space="preserve">las </w:t>
      </w:r>
      <w:r w:rsidR="00F86825" w:rsidRPr="0062710D">
        <w:rPr>
          <w:rFonts w:ascii="Arial" w:hAnsi="Arial" w:cs="Arial"/>
          <w:sz w:val="20"/>
          <w:szCs w:val="20"/>
        </w:rPr>
        <w:t>mermas reales en plantas de regasificación en 201</w:t>
      </w:r>
      <w:r w:rsidR="00062797" w:rsidRPr="0062710D">
        <w:rPr>
          <w:rFonts w:ascii="Arial" w:hAnsi="Arial" w:cs="Arial"/>
          <w:sz w:val="20"/>
          <w:szCs w:val="20"/>
        </w:rPr>
        <w:t>9</w:t>
      </w:r>
      <w:r w:rsidR="00F86825" w:rsidRPr="0062710D">
        <w:rPr>
          <w:rFonts w:ascii="Arial" w:hAnsi="Arial" w:cs="Arial"/>
          <w:sz w:val="20"/>
          <w:szCs w:val="20"/>
        </w:rPr>
        <w:t>, según la información remitida por el GTS</w:t>
      </w:r>
      <w:r w:rsidRPr="0062710D">
        <w:rPr>
          <w:rFonts w:ascii="Arial" w:hAnsi="Arial" w:cs="Arial"/>
          <w:sz w:val="20"/>
          <w:szCs w:val="20"/>
        </w:rPr>
        <w:t>.</w:t>
      </w:r>
    </w:p>
    <w:p w14:paraId="7835E4C5" w14:textId="77777777" w:rsidR="00AA7B78" w:rsidRPr="0062710D" w:rsidRDefault="00AA7B78" w:rsidP="00A65300">
      <w:pPr>
        <w:rPr>
          <w:rFonts w:ascii="Arial" w:hAnsi="Arial" w:cs="Arial"/>
        </w:rPr>
      </w:pPr>
    </w:p>
    <w:p w14:paraId="46964FA7" w14:textId="2388DC38" w:rsidR="00F86825" w:rsidRDefault="00F86825" w:rsidP="00F86825">
      <w:pPr>
        <w:jc w:val="both"/>
        <w:rPr>
          <w:rFonts w:ascii="Arial" w:hAnsi="Arial" w:cs="Arial"/>
        </w:rPr>
      </w:pPr>
      <w:r w:rsidRPr="0062710D">
        <w:rPr>
          <w:rFonts w:ascii="Arial" w:hAnsi="Arial" w:cs="Arial"/>
        </w:rPr>
        <w:t>Teniendo en cuenta los datos facilitados por el GTS, se han calculado los saldos de mermas en cada una de las plantas de regasificación como la diferencia entre las mermas reales y las mermas retenidas.</w:t>
      </w:r>
      <w:r w:rsidR="00D10F3E" w:rsidRPr="0062710D">
        <w:rPr>
          <w:rFonts w:ascii="Arial" w:hAnsi="Arial" w:cs="Arial"/>
        </w:rPr>
        <w:t xml:space="preserve"> Dado que las mermas reales son negativas en todas las plantas, el saldo de mermas en todas ellas resulta negativo y superior en valor absoluto a las mermas retenidas</w:t>
      </w:r>
      <w:r w:rsidRPr="0062710D">
        <w:rPr>
          <w:rFonts w:ascii="Arial" w:hAnsi="Arial" w:cs="Arial"/>
        </w:rPr>
        <w:t>.</w:t>
      </w:r>
    </w:p>
    <w:p w14:paraId="54752191" w14:textId="2C958D9F" w:rsidR="009E0541" w:rsidRDefault="009E0541" w:rsidP="00F86825">
      <w:pPr>
        <w:jc w:val="both"/>
        <w:rPr>
          <w:rFonts w:ascii="Arial" w:hAnsi="Arial" w:cs="Arial"/>
        </w:rPr>
      </w:pPr>
    </w:p>
    <w:p w14:paraId="0313E8A4" w14:textId="48908EE8" w:rsidR="009E0541" w:rsidRPr="00B255F7" w:rsidRDefault="009E0541" w:rsidP="009E0541">
      <w:pPr>
        <w:jc w:val="both"/>
        <w:rPr>
          <w:rFonts w:ascii="Arial" w:hAnsi="Arial" w:cs="Arial"/>
        </w:rPr>
      </w:pPr>
      <w:r>
        <w:rPr>
          <w:rFonts w:ascii="Arial" w:hAnsi="Arial" w:cs="Arial"/>
        </w:rPr>
        <w:t>A este respecto, cabe destacar la correlación entre las mermas reales en las redes de transporte en 2019 (de signo positivo), con las mermas reales registradas en las plantas de regasificación para el mismo periodo (de signo negativo).</w:t>
      </w:r>
    </w:p>
    <w:p w14:paraId="2DD086A7" w14:textId="380ABF2D" w:rsidR="009E0541" w:rsidRDefault="009E0541" w:rsidP="009E0541">
      <w:pPr>
        <w:jc w:val="both"/>
        <w:rPr>
          <w:rFonts w:ascii="Arial" w:hAnsi="Arial" w:cs="Arial"/>
        </w:rPr>
      </w:pPr>
    </w:p>
    <w:p w14:paraId="4AEA556D" w14:textId="77777777" w:rsidR="009E0541" w:rsidRDefault="009E0541" w:rsidP="009E0541">
      <w:pPr>
        <w:jc w:val="center"/>
        <w:rPr>
          <w:rFonts w:ascii="Arial" w:hAnsi="Arial" w:cs="Arial"/>
        </w:rPr>
      </w:pPr>
      <w:r w:rsidRPr="005F26CA">
        <w:rPr>
          <w:noProof/>
        </w:rPr>
        <w:drawing>
          <wp:inline distT="0" distB="0" distL="0" distR="0" wp14:anchorId="6DF6A027" wp14:editId="296AEF02">
            <wp:extent cx="5147310" cy="2381885"/>
            <wp:effectExtent l="19050" t="19050" r="15240" b="184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7310" cy="2381885"/>
                    </a:xfrm>
                    <a:prstGeom prst="rect">
                      <a:avLst/>
                    </a:prstGeom>
                    <a:noFill/>
                    <a:ln>
                      <a:solidFill>
                        <a:schemeClr val="tx1"/>
                      </a:solidFill>
                    </a:ln>
                  </pic:spPr>
                </pic:pic>
              </a:graphicData>
            </a:graphic>
          </wp:inline>
        </w:drawing>
      </w:r>
    </w:p>
    <w:p w14:paraId="5312ED52" w14:textId="77777777" w:rsidR="009E0541" w:rsidRDefault="009E0541" w:rsidP="009E0541">
      <w:pPr>
        <w:jc w:val="center"/>
        <w:rPr>
          <w:rFonts w:ascii="Arial" w:hAnsi="Arial" w:cs="Arial"/>
          <w:sz w:val="20"/>
          <w:szCs w:val="20"/>
        </w:rPr>
      </w:pPr>
    </w:p>
    <w:p w14:paraId="0066CD5B" w14:textId="0E00E30C" w:rsidR="009E0541" w:rsidRPr="0062710D" w:rsidRDefault="009E0541" w:rsidP="00406A97">
      <w:pPr>
        <w:jc w:val="center"/>
        <w:rPr>
          <w:rFonts w:ascii="Arial" w:hAnsi="Arial" w:cs="Arial"/>
        </w:rPr>
      </w:pPr>
      <w:r w:rsidRPr="00B255F7">
        <w:rPr>
          <w:rFonts w:ascii="Arial" w:hAnsi="Arial" w:cs="Arial"/>
          <w:sz w:val="20"/>
          <w:szCs w:val="20"/>
        </w:rPr>
        <w:t xml:space="preserve">Figura </w:t>
      </w:r>
      <w:r>
        <w:rPr>
          <w:rFonts w:ascii="Arial" w:hAnsi="Arial" w:cs="Arial"/>
          <w:sz w:val="20"/>
          <w:szCs w:val="20"/>
        </w:rPr>
        <w:t>7</w:t>
      </w:r>
      <w:r w:rsidRPr="00B255F7">
        <w:rPr>
          <w:rFonts w:ascii="Arial" w:hAnsi="Arial" w:cs="Arial"/>
          <w:sz w:val="20"/>
          <w:szCs w:val="20"/>
        </w:rPr>
        <w:t xml:space="preserve">: Evolución </w:t>
      </w:r>
      <w:r>
        <w:rPr>
          <w:rFonts w:ascii="Arial" w:hAnsi="Arial" w:cs="Arial"/>
          <w:sz w:val="20"/>
          <w:szCs w:val="20"/>
        </w:rPr>
        <w:t>de las mermas reales en transporte y regasificación en 2019.</w:t>
      </w:r>
      <w:r w:rsidRPr="005F26CA">
        <w:rPr>
          <w:rFonts w:ascii="Arial" w:hAnsi="Arial" w:cs="Arial"/>
          <w:sz w:val="20"/>
          <w:szCs w:val="20"/>
        </w:rPr>
        <w:t xml:space="preserve"> </w:t>
      </w:r>
      <w:r>
        <w:rPr>
          <w:rFonts w:ascii="Arial" w:hAnsi="Arial" w:cs="Arial"/>
          <w:sz w:val="20"/>
          <w:szCs w:val="20"/>
        </w:rPr>
        <w:t>Fuente: 2º informe sobre los saldos de mermas de 2019 comunicados a la CNMC, de septiembre de 2020</w:t>
      </w:r>
      <w:r w:rsidRPr="004F173E">
        <w:rPr>
          <w:rFonts w:ascii="Arial" w:hAnsi="Arial" w:cs="Arial"/>
          <w:sz w:val="20"/>
          <w:szCs w:val="20"/>
        </w:rPr>
        <w:t>.</w:t>
      </w:r>
    </w:p>
    <w:p w14:paraId="0F7A9DB3" w14:textId="77777777" w:rsidR="00F86825" w:rsidRPr="0062710D" w:rsidRDefault="00F86825" w:rsidP="00F86825">
      <w:pPr>
        <w:jc w:val="both"/>
        <w:rPr>
          <w:rFonts w:ascii="Arial" w:hAnsi="Arial" w:cs="Arial"/>
        </w:rPr>
      </w:pPr>
    </w:p>
    <w:p w14:paraId="6E00A24F" w14:textId="6CC72668" w:rsidR="00AA7B78" w:rsidRPr="0062710D" w:rsidRDefault="00E50A88" w:rsidP="00F86825">
      <w:pPr>
        <w:jc w:val="both"/>
        <w:rPr>
          <w:rFonts w:ascii="Arial" w:hAnsi="Arial" w:cs="Arial"/>
        </w:rPr>
      </w:pPr>
      <w:r w:rsidRPr="0062710D">
        <w:rPr>
          <w:rFonts w:ascii="Arial" w:hAnsi="Arial" w:cs="Arial"/>
        </w:rPr>
        <w:t>En la</w:t>
      </w:r>
      <w:r w:rsidR="00E94893" w:rsidRPr="0062710D">
        <w:rPr>
          <w:rFonts w:ascii="Arial" w:hAnsi="Arial" w:cs="Arial"/>
        </w:rPr>
        <w:t xml:space="preserve"> F</w:t>
      </w:r>
      <w:r w:rsidR="00F86825" w:rsidRPr="0062710D">
        <w:rPr>
          <w:rFonts w:ascii="Arial" w:hAnsi="Arial" w:cs="Arial"/>
        </w:rPr>
        <w:t xml:space="preserve">igura </w:t>
      </w:r>
      <w:r w:rsidR="009E0541">
        <w:rPr>
          <w:rFonts w:ascii="Arial" w:hAnsi="Arial" w:cs="Arial"/>
        </w:rPr>
        <w:t>8</w:t>
      </w:r>
      <w:r w:rsidR="00F86825" w:rsidRPr="0062710D">
        <w:rPr>
          <w:rFonts w:ascii="Arial" w:hAnsi="Arial" w:cs="Arial"/>
        </w:rPr>
        <w:t xml:space="preserve"> se recoge las cifras de saldo de mermas en cada una de las plantas, junto con el porcentaje de mermas reales (sin tener en cuenta las mermas de cargas de buques)</w:t>
      </w:r>
      <w:r w:rsidR="00F86825" w:rsidRPr="0062710D">
        <w:rPr>
          <w:rStyle w:val="Refdenotaalpie"/>
          <w:rFonts w:ascii="Arial" w:hAnsi="Arial" w:cs="Arial"/>
        </w:rPr>
        <w:footnoteReference w:id="3"/>
      </w:r>
      <w:r w:rsidR="00F86825" w:rsidRPr="0062710D">
        <w:rPr>
          <w:rFonts w:ascii="Arial" w:hAnsi="Arial" w:cs="Arial"/>
        </w:rPr>
        <w:t xml:space="preserve"> sobre las descargas.</w:t>
      </w:r>
    </w:p>
    <w:p w14:paraId="295F9913" w14:textId="77777777" w:rsidR="00DA2366" w:rsidRPr="00A42474" w:rsidRDefault="00DA2366" w:rsidP="00DA2366">
      <w:pPr>
        <w:jc w:val="both"/>
        <w:rPr>
          <w:rFonts w:ascii="Arial" w:hAnsi="Arial" w:cs="Arial"/>
          <w:highlight w:val="yellow"/>
        </w:rPr>
      </w:pPr>
    </w:p>
    <w:p w14:paraId="538048CA" w14:textId="4A42D350" w:rsidR="00F86825" w:rsidRPr="00A42474" w:rsidRDefault="00882A22" w:rsidP="00437FAF">
      <w:pPr>
        <w:jc w:val="both"/>
        <w:rPr>
          <w:rFonts w:ascii="Arial" w:hAnsi="Arial" w:cs="Arial"/>
        </w:rPr>
      </w:pPr>
      <w:r w:rsidRPr="00A42474">
        <w:rPr>
          <w:noProof/>
        </w:rPr>
        <w:drawing>
          <wp:inline distT="0" distB="0" distL="0" distR="0" wp14:anchorId="5B82DEF5" wp14:editId="225D4984">
            <wp:extent cx="5490210" cy="334899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0210" cy="3348990"/>
                    </a:xfrm>
                    <a:prstGeom prst="rect">
                      <a:avLst/>
                    </a:prstGeom>
                    <a:noFill/>
                    <a:ln>
                      <a:noFill/>
                    </a:ln>
                  </pic:spPr>
                </pic:pic>
              </a:graphicData>
            </a:graphic>
          </wp:inline>
        </w:drawing>
      </w:r>
    </w:p>
    <w:p w14:paraId="5F1FF185" w14:textId="2F19529A" w:rsidR="00652560" w:rsidRPr="00A42474" w:rsidRDefault="00652560" w:rsidP="00652560">
      <w:pPr>
        <w:jc w:val="center"/>
        <w:rPr>
          <w:rFonts w:ascii="Arial" w:hAnsi="Arial" w:cs="Arial"/>
          <w:sz w:val="20"/>
          <w:szCs w:val="20"/>
        </w:rPr>
      </w:pPr>
      <w:r w:rsidRPr="00A42474">
        <w:rPr>
          <w:rFonts w:ascii="Arial" w:hAnsi="Arial" w:cs="Arial"/>
          <w:sz w:val="20"/>
          <w:szCs w:val="20"/>
        </w:rPr>
        <w:t xml:space="preserve">Figura </w:t>
      </w:r>
      <w:r w:rsidR="009E0541">
        <w:rPr>
          <w:rFonts w:ascii="Arial" w:hAnsi="Arial" w:cs="Arial"/>
          <w:sz w:val="20"/>
          <w:szCs w:val="20"/>
        </w:rPr>
        <w:t>8</w:t>
      </w:r>
      <w:r w:rsidRPr="00A42474">
        <w:rPr>
          <w:rFonts w:ascii="Arial" w:hAnsi="Arial" w:cs="Arial"/>
          <w:sz w:val="20"/>
          <w:szCs w:val="20"/>
        </w:rPr>
        <w:t>: Saldos de mermas en cada planta de regasificación en 201</w:t>
      </w:r>
      <w:r w:rsidR="00882A22" w:rsidRPr="00A42474">
        <w:rPr>
          <w:rFonts w:ascii="Arial" w:hAnsi="Arial" w:cs="Arial"/>
          <w:sz w:val="20"/>
          <w:szCs w:val="20"/>
        </w:rPr>
        <w:t>9</w:t>
      </w:r>
      <w:r w:rsidRPr="00A42474">
        <w:rPr>
          <w:rFonts w:ascii="Arial" w:hAnsi="Arial" w:cs="Arial"/>
          <w:sz w:val="20"/>
          <w:szCs w:val="20"/>
        </w:rPr>
        <w:t>, en GWh y % de mermas reales (sin mermas de carga) respecto al gas descargado.</w:t>
      </w:r>
    </w:p>
    <w:p w14:paraId="44CFFA7C" w14:textId="77777777" w:rsidR="00F01FE3" w:rsidRPr="00A42474" w:rsidRDefault="00F01FE3" w:rsidP="007429D4">
      <w:pPr>
        <w:jc w:val="both"/>
        <w:rPr>
          <w:rFonts w:ascii="Arial" w:hAnsi="Arial" w:cs="Arial"/>
        </w:rPr>
      </w:pPr>
    </w:p>
    <w:p w14:paraId="2D0F70E2" w14:textId="0BE6B35D" w:rsidR="007429D4" w:rsidRPr="00A42474" w:rsidRDefault="00296752" w:rsidP="007429D4">
      <w:pPr>
        <w:jc w:val="both"/>
        <w:rPr>
          <w:rFonts w:ascii="Arial" w:hAnsi="Arial" w:cs="Arial"/>
        </w:rPr>
      </w:pPr>
      <w:r w:rsidRPr="00A42474">
        <w:rPr>
          <w:rFonts w:ascii="Arial" w:hAnsi="Arial" w:cs="Arial"/>
        </w:rPr>
        <w:t xml:space="preserve">Por todo ello, </w:t>
      </w:r>
      <w:r w:rsidR="00CA1502" w:rsidRPr="00A42474">
        <w:rPr>
          <w:rFonts w:ascii="Arial" w:hAnsi="Arial" w:cs="Arial"/>
        </w:rPr>
        <w:t>y en cumplimiento de la normativa vigente</w:t>
      </w:r>
      <w:r w:rsidR="0043575B" w:rsidRPr="00A42474">
        <w:rPr>
          <w:rFonts w:ascii="Arial" w:hAnsi="Arial" w:cs="Arial"/>
        </w:rPr>
        <w:t xml:space="preserve">, la valoración </w:t>
      </w:r>
      <w:r w:rsidR="00654340" w:rsidRPr="00A42474">
        <w:rPr>
          <w:rFonts w:ascii="Arial" w:hAnsi="Arial" w:cs="Arial"/>
        </w:rPr>
        <w:t xml:space="preserve">de la CNMC </w:t>
      </w:r>
      <w:r w:rsidR="0043575B" w:rsidRPr="00A42474">
        <w:rPr>
          <w:rFonts w:ascii="Arial" w:hAnsi="Arial" w:cs="Arial"/>
        </w:rPr>
        <w:t xml:space="preserve">de los saldos de las </w:t>
      </w:r>
      <w:r w:rsidR="00494010" w:rsidRPr="00A42474">
        <w:rPr>
          <w:rFonts w:ascii="Arial" w:hAnsi="Arial" w:cs="Arial"/>
        </w:rPr>
        <w:t>plantas de regasificación en el año 201</w:t>
      </w:r>
      <w:r w:rsidR="00A42474" w:rsidRPr="00A42474">
        <w:rPr>
          <w:rFonts w:ascii="Arial" w:hAnsi="Arial" w:cs="Arial"/>
        </w:rPr>
        <w:t>9</w:t>
      </w:r>
      <w:r w:rsidR="00494010" w:rsidRPr="00A42474">
        <w:rPr>
          <w:rFonts w:ascii="Arial" w:hAnsi="Arial" w:cs="Arial"/>
        </w:rPr>
        <w:t xml:space="preserve"> </w:t>
      </w:r>
      <w:r w:rsidRPr="00A42474">
        <w:rPr>
          <w:rFonts w:ascii="Arial" w:hAnsi="Arial" w:cs="Arial"/>
        </w:rPr>
        <w:t xml:space="preserve">se </w:t>
      </w:r>
      <w:r w:rsidR="00494010" w:rsidRPr="00A42474">
        <w:rPr>
          <w:rFonts w:ascii="Arial" w:hAnsi="Arial" w:cs="Arial"/>
        </w:rPr>
        <w:t xml:space="preserve">ha realizado conforme a </w:t>
      </w:r>
      <w:r w:rsidR="0043575B" w:rsidRPr="00A42474">
        <w:rPr>
          <w:rFonts w:ascii="Arial" w:hAnsi="Arial" w:cs="Arial"/>
        </w:rPr>
        <w:t>los datos d</w:t>
      </w:r>
      <w:r w:rsidR="00494010" w:rsidRPr="00A42474">
        <w:rPr>
          <w:rFonts w:ascii="Arial" w:hAnsi="Arial" w:cs="Arial"/>
        </w:rPr>
        <w:t>e</w:t>
      </w:r>
      <w:r w:rsidR="0043575B" w:rsidRPr="00A42474">
        <w:rPr>
          <w:rFonts w:ascii="Arial" w:hAnsi="Arial" w:cs="Arial"/>
        </w:rPr>
        <w:t xml:space="preserve"> mermas del</w:t>
      </w:r>
      <w:r w:rsidR="00494010" w:rsidRPr="00A42474">
        <w:rPr>
          <w:rFonts w:ascii="Arial" w:hAnsi="Arial" w:cs="Arial"/>
        </w:rPr>
        <w:t xml:space="preserve"> informe </w:t>
      </w:r>
      <w:r w:rsidR="0043575B" w:rsidRPr="00A42474">
        <w:rPr>
          <w:rFonts w:ascii="Arial" w:hAnsi="Arial" w:cs="Arial"/>
        </w:rPr>
        <w:t xml:space="preserve">anual remitido por </w:t>
      </w:r>
      <w:r w:rsidR="00494010" w:rsidRPr="00A42474">
        <w:rPr>
          <w:rFonts w:ascii="Arial" w:hAnsi="Arial" w:cs="Arial"/>
        </w:rPr>
        <w:t>el GTS</w:t>
      </w:r>
      <w:r w:rsidR="009B5A78" w:rsidRPr="00A42474">
        <w:rPr>
          <w:rFonts w:ascii="Arial" w:hAnsi="Arial" w:cs="Arial"/>
        </w:rPr>
        <w:t>.</w:t>
      </w:r>
    </w:p>
    <w:p w14:paraId="446A6B76" w14:textId="77777777" w:rsidR="00B36513" w:rsidRPr="00A42474" w:rsidRDefault="00B36513" w:rsidP="007429D4">
      <w:pPr>
        <w:jc w:val="both"/>
        <w:rPr>
          <w:rFonts w:ascii="Arial" w:hAnsi="Arial" w:cs="Arial"/>
        </w:rPr>
      </w:pPr>
    </w:p>
    <w:p w14:paraId="41A97425" w14:textId="77777777" w:rsidR="00A936AE" w:rsidRPr="00A42474" w:rsidRDefault="00A936AE" w:rsidP="00A936AE">
      <w:pPr>
        <w:widowControl w:val="0"/>
        <w:ind w:left="567" w:hanging="567"/>
        <w:jc w:val="both"/>
        <w:rPr>
          <w:rFonts w:ascii="Arial" w:hAnsi="Arial" w:cs="Arial"/>
          <w:b/>
        </w:rPr>
      </w:pPr>
      <w:r w:rsidRPr="00A42474">
        <w:rPr>
          <w:rFonts w:ascii="Arial" w:hAnsi="Arial" w:cs="Arial"/>
          <w:b/>
        </w:rPr>
        <w:t xml:space="preserve">4.5. </w:t>
      </w:r>
      <w:r w:rsidR="0033067A" w:rsidRPr="00A42474">
        <w:rPr>
          <w:rFonts w:ascii="Arial" w:hAnsi="Arial" w:cs="Arial"/>
          <w:b/>
        </w:rPr>
        <w:t>Devolución de gas a los usuarios</w:t>
      </w:r>
    </w:p>
    <w:p w14:paraId="1CD986F6" w14:textId="77777777" w:rsidR="00A936AE" w:rsidRPr="00A42474" w:rsidRDefault="00A936AE" w:rsidP="0033067A">
      <w:pPr>
        <w:rPr>
          <w:rFonts w:ascii="Arial" w:hAnsi="Arial" w:cs="Arial"/>
        </w:rPr>
      </w:pPr>
    </w:p>
    <w:p w14:paraId="601B44D6" w14:textId="41A5DF3A" w:rsidR="0033067A" w:rsidRPr="00A42474" w:rsidRDefault="0033067A" w:rsidP="0033067A">
      <w:pPr>
        <w:pStyle w:val="Pa6"/>
        <w:spacing w:line="240" w:lineRule="auto"/>
        <w:jc w:val="both"/>
      </w:pPr>
      <w:r w:rsidRPr="00A42474">
        <w:t xml:space="preserve">El mandato establecido en el artículo 2 de la Orden ITC/1890/2010, modificado por la Orden IET/2736/2015, de 17 de diciembre, en su </w:t>
      </w:r>
      <w:r w:rsidR="00494010" w:rsidRPr="00A42474">
        <w:t>d</w:t>
      </w:r>
      <w:r w:rsidRPr="00A42474">
        <w:t xml:space="preserve">isposición final cuarta, dispone que </w:t>
      </w:r>
      <w:r w:rsidRPr="00A42474">
        <w:rPr>
          <w:u w:val="single"/>
        </w:rPr>
        <w:t>cuando el saldo de mermas anual de una planta sea negativo</w:t>
      </w:r>
      <w:r w:rsidRPr="00A42474">
        <w:t xml:space="preserve">, durante los 30 días posteriores a la publicación del saldo, el GTS pondrá a disposición de cada usuario de la planta, a cuenta del gas acumulado como saldo de mermas de la planta de regasificación, un volumen de gas diario equivalente a </w:t>
      </w:r>
      <w:r w:rsidRPr="00A42474">
        <w:rPr>
          <w:b/>
          <w:u w:val="single"/>
        </w:rPr>
        <w:t>la mitad del saldo de mermas anual del usuario</w:t>
      </w:r>
      <w:r w:rsidRPr="00A42474">
        <w:t xml:space="preserve"> repartido proporcionalmente en dichos 30 días, en la planta en cuestión.</w:t>
      </w:r>
    </w:p>
    <w:p w14:paraId="112CABCC" w14:textId="77777777" w:rsidR="0033067A" w:rsidRPr="00A42474" w:rsidRDefault="0033067A" w:rsidP="0033067A">
      <w:pPr>
        <w:pStyle w:val="Default"/>
        <w:rPr>
          <w:color w:val="auto"/>
        </w:rPr>
      </w:pPr>
    </w:p>
    <w:p w14:paraId="79C773B8" w14:textId="297B30AF" w:rsidR="00D61DFB" w:rsidRPr="00A42474" w:rsidRDefault="0033067A" w:rsidP="004729AF">
      <w:pPr>
        <w:pStyle w:val="Default"/>
        <w:jc w:val="both"/>
        <w:rPr>
          <w:color w:val="auto"/>
        </w:rPr>
      </w:pPr>
      <w:r w:rsidRPr="00A42474">
        <w:rPr>
          <w:color w:val="auto"/>
        </w:rPr>
        <w:t xml:space="preserve">Por otro lado, la Orden </w:t>
      </w:r>
      <w:r w:rsidR="006E3CDA">
        <w:rPr>
          <w:color w:val="auto"/>
        </w:rPr>
        <w:t xml:space="preserve">ITC/1890/2010 (en la redacción dada por la Orden </w:t>
      </w:r>
      <w:r w:rsidRPr="00A42474">
        <w:rPr>
          <w:color w:val="auto"/>
        </w:rPr>
        <w:t>IET/2443/2013, de 27 de diciembre</w:t>
      </w:r>
      <w:r w:rsidR="006E3CDA">
        <w:rPr>
          <w:color w:val="auto"/>
        </w:rPr>
        <w:t>)</w:t>
      </w:r>
      <w:r w:rsidRPr="00A42474">
        <w:rPr>
          <w:color w:val="auto"/>
        </w:rPr>
        <w:t>, establece que los saldo</w:t>
      </w:r>
      <w:r w:rsidR="005B7534" w:rsidRPr="00A42474">
        <w:rPr>
          <w:color w:val="auto"/>
        </w:rPr>
        <w:t>s de mermas anuales de los usuarios en las plantas</w:t>
      </w:r>
      <w:r w:rsidR="00440231" w:rsidRPr="00A42474">
        <w:rPr>
          <w:color w:val="auto"/>
        </w:rPr>
        <w:t xml:space="preserve"> de regasificación se calcularán</w:t>
      </w:r>
      <w:r w:rsidR="005B7534" w:rsidRPr="00A42474">
        <w:rPr>
          <w:color w:val="auto"/>
        </w:rPr>
        <w:t xml:space="preserve"> </w:t>
      </w:r>
      <w:r w:rsidRPr="00A42474">
        <w:rPr>
          <w:color w:val="auto"/>
        </w:rPr>
        <w:t xml:space="preserve">como la </w:t>
      </w:r>
      <w:r w:rsidRPr="00A42474">
        <w:rPr>
          <w:color w:val="auto"/>
          <w:u w:val="single"/>
        </w:rPr>
        <w:t>suma de los saldos mensuales</w:t>
      </w:r>
      <w:r w:rsidRPr="00A42474">
        <w:rPr>
          <w:color w:val="auto"/>
        </w:rPr>
        <w:t xml:space="preserve"> </w:t>
      </w:r>
      <w:r w:rsidR="005B7534" w:rsidRPr="00A42474">
        <w:rPr>
          <w:color w:val="auto"/>
        </w:rPr>
        <w:t xml:space="preserve">del año </w:t>
      </w:r>
      <w:r w:rsidRPr="00A42474">
        <w:rPr>
          <w:color w:val="auto"/>
        </w:rPr>
        <w:t xml:space="preserve">asignados en las mismas. </w:t>
      </w:r>
      <w:r w:rsidR="005B7534" w:rsidRPr="00A42474">
        <w:rPr>
          <w:color w:val="auto"/>
        </w:rPr>
        <w:t xml:space="preserve">Los saldos mensuales son repartidos por el GTS aplicando el criterio que consiste en repartir el saldo mensual de mermas de la planta entre los usuarios que descargaron GNL en dicho mes, proporcionalmente a la energía descargada. </w:t>
      </w:r>
    </w:p>
    <w:p w14:paraId="261ED290" w14:textId="13719781" w:rsidR="00D61DFB" w:rsidRDefault="00D61DFB" w:rsidP="00D61DFB">
      <w:pPr>
        <w:pStyle w:val="Default"/>
        <w:jc w:val="both"/>
        <w:rPr>
          <w:color w:val="auto"/>
        </w:rPr>
      </w:pPr>
    </w:p>
    <w:p w14:paraId="0780AB91" w14:textId="516EFF22" w:rsidR="0088224E" w:rsidRPr="00A42474" w:rsidRDefault="0088224E" w:rsidP="0088224E">
      <w:pPr>
        <w:widowControl w:val="0"/>
        <w:ind w:left="567" w:hanging="567"/>
        <w:jc w:val="both"/>
        <w:rPr>
          <w:rFonts w:ascii="Arial" w:hAnsi="Arial" w:cs="Arial"/>
          <w:b/>
        </w:rPr>
      </w:pPr>
      <w:r w:rsidRPr="00A42474">
        <w:rPr>
          <w:rFonts w:ascii="Arial" w:hAnsi="Arial" w:cs="Arial"/>
          <w:b/>
        </w:rPr>
        <w:t>4.6. Valoración del saldo de mermas en las plantas de regasificación y procedimiento para el abono o cargo de la retribución adicional correspondiente</w:t>
      </w:r>
    </w:p>
    <w:p w14:paraId="6E429790" w14:textId="77777777" w:rsidR="00643406" w:rsidRPr="00A42474" w:rsidRDefault="00643406" w:rsidP="00A65300">
      <w:pPr>
        <w:rPr>
          <w:rFonts w:ascii="Arial" w:hAnsi="Arial" w:cs="Arial"/>
        </w:rPr>
      </w:pPr>
    </w:p>
    <w:p w14:paraId="0BBD70DE" w14:textId="77777777" w:rsidR="0088224E" w:rsidRPr="00A42474" w:rsidRDefault="0088224E" w:rsidP="0088224E">
      <w:pPr>
        <w:jc w:val="both"/>
        <w:rPr>
          <w:rFonts w:ascii="Arial" w:hAnsi="Arial" w:cs="Arial"/>
        </w:rPr>
      </w:pPr>
      <w:r w:rsidRPr="00A42474">
        <w:rPr>
          <w:rFonts w:ascii="Arial" w:hAnsi="Arial" w:cs="Arial"/>
        </w:rPr>
        <w:t>En el caso de que el saldo anual de mermas de la planta tenga un valor negativo, además de la devolución del gas a los usuarios según lo explicado en el apartado anterior, la mitad del saldo de la planta, valorada al precio del gas de operación del año anterior, será adicionada a la retribución reconocida al titular de la planta. Por el contrario, si el saldo anual de mermas de la planta presenta un valor positivo, la totalidad de dicha cantidad será restada de la retribución reconocida al titular de la planta.</w:t>
      </w:r>
    </w:p>
    <w:p w14:paraId="7D9FAA5E" w14:textId="77777777" w:rsidR="0088224E" w:rsidRPr="00A42474" w:rsidRDefault="0088224E" w:rsidP="0088224E">
      <w:pPr>
        <w:rPr>
          <w:rFonts w:ascii="Arial" w:hAnsi="Arial" w:cs="Arial"/>
        </w:rPr>
      </w:pPr>
    </w:p>
    <w:p w14:paraId="7157E16A" w14:textId="7982AA4B" w:rsidR="00643406" w:rsidRPr="00A42474" w:rsidRDefault="0088224E" w:rsidP="000D4E50">
      <w:pPr>
        <w:jc w:val="both"/>
        <w:rPr>
          <w:rFonts w:ascii="Arial" w:hAnsi="Arial" w:cs="Arial"/>
        </w:rPr>
      </w:pPr>
      <w:r w:rsidRPr="00A42474">
        <w:rPr>
          <w:rFonts w:ascii="Arial" w:hAnsi="Arial" w:cs="Arial"/>
        </w:rPr>
        <w:t xml:space="preserve">La Figura </w:t>
      </w:r>
      <w:r w:rsidR="009E0541">
        <w:rPr>
          <w:rFonts w:ascii="Arial" w:hAnsi="Arial" w:cs="Arial"/>
        </w:rPr>
        <w:t>9</w:t>
      </w:r>
      <w:r w:rsidRPr="00A42474">
        <w:rPr>
          <w:rFonts w:ascii="Arial" w:hAnsi="Arial" w:cs="Arial"/>
        </w:rPr>
        <w:t xml:space="preserve"> recoge para cada planta el saldo anual de mermas de regasificación y</w:t>
      </w:r>
      <w:r w:rsidR="000A6A71">
        <w:rPr>
          <w:rFonts w:ascii="Arial" w:hAnsi="Arial" w:cs="Arial"/>
        </w:rPr>
        <w:t>,</w:t>
      </w:r>
      <w:r w:rsidRPr="00A42474">
        <w:rPr>
          <w:rFonts w:ascii="Arial" w:hAnsi="Arial" w:cs="Arial"/>
        </w:rPr>
        <w:t xml:space="preserve"> en función de su signo, las cantidades a adicionar o descontar a la retribución reconocida de los titulares de las instalaciones, empleando para ello el precio medio del gas de operación de ese año que publica el GTS en su página web.</w:t>
      </w:r>
      <w:r w:rsidR="000A710A">
        <w:rPr>
          <w:rFonts w:ascii="Arial" w:hAnsi="Arial" w:cs="Arial"/>
        </w:rPr>
        <w:t xml:space="preserve"> </w:t>
      </w:r>
    </w:p>
    <w:p w14:paraId="536F96B8" w14:textId="334E6050" w:rsidR="007429D4" w:rsidRPr="00A42474" w:rsidRDefault="007429D4">
      <w:pPr>
        <w:rPr>
          <w:rFonts w:ascii="Arial" w:hAnsi="Arial" w:cs="Arial"/>
        </w:rPr>
      </w:pPr>
    </w:p>
    <w:tbl>
      <w:tblPr>
        <w:tblStyle w:val="Tablaconcuadrcula"/>
        <w:tblW w:w="10206" w:type="dxa"/>
        <w:jc w:val="center"/>
        <w:tblLayout w:type="fixed"/>
        <w:tblLook w:val="04A0" w:firstRow="1" w:lastRow="0" w:firstColumn="1" w:lastColumn="0" w:noHBand="0" w:noVBand="1"/>
      </w:tblPr>
      <w:tblGrid>
        <w:gridCol w:w="1276"/>
        <w:gridCol w:w="993"/>
        <w:gridCol w:w="1275"/>
        <w:gridCol w:w="1418"/>
        <w:gridCol w:w="1134"/>
        <w:gridCol w:w="1276"/>
        <w:gridCol w:w="1417"/>
        <w:gridCol w:w="1417"/>
      </w:tblGrid>
      <w:tr w:rsidR="00A42474" w:rsidRPr="00A42474" w14:paraId="7E61B153" w14:textId="77777777" w:rsidTr="00625784">
        <w:trPr>
          <w:trHeight w:val="20"/>
          <w:jc w:val="center"/>
        </w:trPr>
        <w:tc>
          <w:tcPr>
            <w:tcW w:w="2269" w:type="dxa"/>
            <w:gridSpan w:val="2"/>
            <w:tcBorders>
              <w:top w:val="nil"/>
              <w:left w:val="nil"/>
              <w:bottom w:val="nil"/>
              <w:right w:val="nil"/>
            </w:tcBorders>
            <w:vAlign w:val="center"/>
          </w:tcPr>
          <w:p w14:paraId="7AF5EA61" w14:textId="77777777" w:rsidR="00EB3D22" w:rsidRPr="00A42474" w:rsidRDefault="00EB3D22" w:rsidP="000D4E50">
            <w:pPr>
              <w:spacing w:before="100" w:beforeAutospacing="1" w:after="100" w:afterAutospacing="1"/>
              <w:contextualSpacing/>
              <w:jc w:val="center"/>
              <w:rPr>
                <w:rFonts w:ascii="Arial" w:hAnsi="Arial" w:cs="Arial"/>
                <w:sz w:val="18"/>
                <w:szCs w:val="18"/>
              </w:rPr>
            </w:pPr>
            <w:bookmarkStart w:id="9" w:name="_Hlk55320798"/>
          </w:p>
        </w:tc>
        <w:tc>
          <w:tcPr>
            <w:tcW w:w="1275" w:type="dxa"/>
            <w:tcBorders>
              <w:top w:val="nil"/>
              <w:left w:val="nil"/>
              <w:right w:val="nil"/>
            </w:tcBorders>
            <w:vAlign w:val="center"/>
          </w:tcPr>
          <w:p w14:paraId="472D8DC3" w14:textId="77777777" w:rsidR="00EB3D22" w:rsidRPr="00A42474" w:rsidRDefault="00EB3D22" w:rsidP="000D4E50">
            <w:pPr>
              <w:spacing w:before="100" w:beforeAutospacing="1" w:after="100" w:afterAutospacing="1"/>
              <w:contextualSpacing/>
              <w:jc w:val="center"/>
              <w:rPr>
                <w:rFonts w:ascii="Arial" w:hAnsi="Arial" w:cs="Arial"/>
                <w:sz w:val="18"/>
                <w:szCs w:val="18"/>
              </w:rPr>
            </w:pPr>
          </w:p>
        </w:tc>
        <w:tc>
          <w:tcPr>
            <w:tcW w:w="1418" w:type="dxa"/>
            <w:tcBorders>
              <w:top w:val="nil"/>
              <w:left w:val="nil"/>
              <w:right w:val="nil"/>
            </w:tcBorders>
            <w:vAlign w:val="center"/>
          </w:tcPr>
          <w:p w14:paraId="39A45BDD" w14:textId="77777777" w:rsidR="00EB3D22" w:rsidRPr="00A42474" w:rsidRDefault="00EB3D22" w:rsidP="000D4E50">
            <w:pPr>
              <w:spacing w:before="100" w:beforeAutospacing="1" w:after="100" w:afterAutospacing="1"/>
              <w:contextualSpacing/>
              <w:jc w:val="center"/>
              <w:rPr>
                <w:rFonts w:ascii="Arial" w:hAnsi="Arial" w:cs="Arial"/>
                <w:sz w:val="18"/>
                <w:szCs w:val="18"/>
              </w:rPr>
            </w:pPr>
          </w:p>
        </w:tc>
        <w:tc>
          <w:tcPr>
            <w:tcW w:w="1134" w:type="dxa"/>
            <w:tcBorders>
              <w:top w:val="nil"/>
              <w:left w:val="nil"/>
            </w:tcBorders>
            <w:vAlign w:val="center"/>
          </w:tcPr>
          <w:p w14:paraId="716507F2" w14:textId="77777777" w:rsidR="00EB3D22" w:rsidRPr="00A42474" w:rsidRDefault="00EB3D22" w:rsidP="000D4E50">
            <w:pPr>
              <w:spacing w:before="100" w:beforeAutospacing="1" w:after="100" w:afterAutospacing="1"/>
              <w:contextualSpacing/>
              <w:jc w:val="center"/>
              <w:rPr>
                <w:rFonts w:ascii="Arial" w:hAnsi="Arial" w:cs="Arial"/>
                <w:sz w:val="18"/>
                <w:szCs w:val="18"/>
              </w:rPr>
            </w:pPr>
          </w:p>
        </w:tc>
        <w:tc>
          <w:tcPr>
            <w:tcW w:w="2693" w:type="dxa"/>
            <w:gridSpan w:val="2"/>
            <w:vAlign w:val="center"/>
          </w:tcPr>
          <w:p w14:paraId="4BEEC6E0" w14:textId="77777777" w:rsidR="00EB3D22" w:rsidRPr="00A42474" w:rsidRDefault="00EB3D22" w:rsidP="000D4E50">
            <w:pPr>
              <w:spacing w:before="100" w:beforeAutospacing="1" w:after="100" w:afterAutospacing="1"/>
              <w:contextualSpacing/>
              <w:jc w:val="center"/>
              <w:rPr>
                <w:rFonts w:ascii="Arial" w:hAnsi="Arial" w:cs="Arial"/>
                <w:b/>
                <w:sz w:val="18"/>
                <w:szCs w:val="18"/>
              </w:rPr>
            </w:pPr>
            <w:r w:rsidRPr="00A42474">
              <w:rPr>
                <w:rFonts w:ascii="Arial" w:hAnsi="Arial" w:cs="Arial"/>
                <w:b/>
                <w:sz w:val="18"/>
                <w:szCs w:val="18"/>
              </w:rPr>
              <w:t>Valoración del saldo de mermas</w:t>
            </w:r>
          </w:p>
        </w:tc>
        <w:tc>
          <w:tcPr>
            <w:tcW w:w="1417" w:type="dxa"/>
            <w:tcBorders>
              <w:top w:val="nil"/>
              <w:right w:val="nil"/>
            </w:tcBorders>
          </w:tcPr>
          <w:p w14:paraId="225051E0" w14:textId="77777777" w:rsidR="00EB3D22" w:rsidRPr="00A42474" w:rsidRDefault="00EB3D22" w:rsidP="000D4E50">
            <w:pPr>
              <w:spacing w:before="100" w:beforeAutospacing="1" w:after="100" w:afterAutospacing="1"/>
              <w:contextualSpacing/>
              <w:jc w:val="center"/>
              <w:rPr>
                <w:rFonts w:ascii="Arial" w:hAnsi="Arial" w:cs="Arial"/>
                <w:b/>
                <w:sz w:val="18"/>
                <w:szCs w:val="18"/>
              </w:rPr>
            </w:pPr>
          </w:p>
        </w:tc>
      </w:tr>
      <w:tr w:rsidR="00A42474" w:rsidRPr="00A42474" w14:paraId="4756B1CB" w14:textId="77777777" w:rsidTr="00625784">
        <w:trPr>
          <w:trHeight w:val="20"/>
          <w:jc w:val="center"/>
        </w:trPr>
        <w:tc>
          <w:tcPr>
            <w:tcW w:w="2269" w:type="dxa"/>
            <w:gridSpan w:val="2"/>
            <w:tcBorders>
              <w:top w:val="nil"/>
              <w:left w:val="nil"/>
            </w:tcBorders>
            <w:vAlign w:val="center"/>
          </w:tcPr>
          <w:p w14:paraId="04DCAAC7" w14:textId="77777777" w:rsidR="00EB3D22" w:rsidRPr="00A42474" w:rsidRDefault="00EB3D22" w:rsidP="000D4E50">
            <w:pPr>
              <w:spacing w:before="100" w:beforeAutospacing="1" w:after="100" w:afterAutospacing="1"/>
              <w:contextualSpacing/>
              <w:jc w:val="center"/>
              <w:rPr>
                <w:rFonts w:ascii="Arial" w:hAnsi="Arial" w:cs="Arial"/>
                <w:sz w:val="18"/>
                <w:szCs w:val="18"/>
              </w:rPr>
            </w:pPr>
          </w:p>
        </w:tc>
        <w:tc>
          <w:tcPr>
            <w:tcW w:w="1275" w:type="dxa"/>
            <w:vAlign w:val="center"/>
          </w:tcPr>
          <w:p w14:paraId="20903DE1" w14:textId="77777777" w:rsidR="00EB3D22" w:rsidRPr="00A42474" w:rsidRDefault="00EB3D22" w:rsidP="000D4E50">
            <w:pPr>
              <w:spacing w:before="100" w:beforeAutospacing="1" w:after="100" w:afterAutospacing="1"/>
              <w:contextualSpacing/>
              <w:jc w:val="center"/>
              <w:rPr>
                <w:rFonts w:ascii="Arial" w:hAnsi="Arial" w:cs="Arial"/>
                <w:b/>
                <w:bCs/>
                <w:sz w:val="18"/>
                <w:szCs w:val="18"/>
              </w:rPr>
            </w:pPr>
            <w:r w:rsidRPr="00A42474">
              <w:rPr>
                <w:rFonts w:ascii="Arial" w:hAnsi="Arial" w:cs="Arial"/>
                <w:b/>
                <w:bCs/>
                <w:sz w:val="18"/>
                <w:szCs w:val="18"/>
              </w:rPr>
              <w:t>Saldo de mermas</w:t>
            </w:r>
          </w:p>
          <w:p w14:paraId="58A2B34F" w14:textId="77777777" w:rsidR="00EB3D22" w:rsidRPr="00A42474" w:rsidRDefault="00EB3D22" w:rsidP="000D4E50">
            <w:pPr>
              <w:spacing w:before="100" w:beforeAutospacing="1" w:after="100" w:afterAutospacing="1"/>
              <w:contextualSpacing/>
              <w:jc w:val="center"/>
              <w:rPr>
                <w:rFonts w:ascii="Arial" w:hAnsi="Arial" w:cs="Arial"/>
                <w:b/>
                <w:bCs/>
                <w:sz w:val="18"/>
                <w:szCs w:val="18"/>
              </w:rPr>
            </w:pPr>
            <w:r w:rsidRPr="00A42474">
              <w:rPr>
                <w:rFonts w:ascii="Arial" w:hAnsi="Arial" w:cs="Arial"/>
                <w:b/>
                <w:bCs/>
                <w:sz w:val="18"/>
                <w:szCs w:val="18"/>
              </w:rPr>
              <w:t>(</w:t>
            </w:r>
            <w:proofErr w:type="spellStart"/>
            <w:r w:rsidRPr="00A42474">
              <w:rPr>
                <w:rFonts w:ascii="Arial" w:hAnsi="Arial" w:cs="Arial"/>
                <w:b/>
                <w:bCs/>
                <w:sz w:val="18"/>
                <w:szCs w:val="18"/>
              </w:rPr>
              <w:t>MWh</w:t>
            </w:r>
            <w:proofErr w:type="spellEnd"/>
            <w:r w:rsidRPr="00A42474">
              <w:rPr>
                <w:rFonts w:ascii="Arial" w:hAnsi="Arial" w:cs="Arial"/>
                <w:b/>
                <w:bCs/>
                <w:sz w:val="18"/>
                <w:szCs w:val="18"/>
              </w:rPr>
              <w:t>)</w:t>
            </w:r>
          </w:p>
        </w:tc>
        <w:tc>
          <w:tcPr>
            <w:tcW w:w="1418" w:type="dxa"/>
            <w:vAlign w:val="center"/>
          </w:tcPr>
          <w:p w14:paraId="74C5BDFB" w14:textId="77777777" w:rsidR="00EB3D22" w:rsidRPr="00A42474" w:rsidRDefault="00EB3D22" w:rsidP="000D4E50">
            <w:pPr>
              <w:spacing w:before="100" w:beforeAutospacing="1" w:after="100" w:afterAutospacing="1"/>
              <w:contextualSpacing/>
              <w:jc w:val="center"/>
              <w:rPr>
                <w:rFonts w:ascii="Arial" w:hAnsi="Arial" w:cs="Arial"/>
                <w:b/>
                <w:bCs/>
                <w:sz w:val="18"/>
                <w:szCs w:val="18"/>
              </w:rPr>
            </w:pPr>
            <w:r w:rsidRPr="00A42474">
              <w:rPr>
                <w:rFonts w:ascii="Arial" w:hAnsi="Arial" w:cs="Arial"/>
                <w:b/>
                <w:bCs/>
                <w:sz w:val="18"/>
                <w:szCs w:val="18"/>
              </w:rPr>
              <w:t>Mitad del saldo de mermas negativo (</w:t>
            </w:r>
            <w:proofErr w:type="spellStart"/>
            <w:r w:rsidRPr="00A42474">
              <w:rPr>
                <w:rFonts w:ascii="Arial" w:hAnsi="Arial" w:cs="Arial"/>
                <w:b/>
                <w:bCs/>
                <w:sz w:val="18"/>
                <w:szCs w:val="18"/>
              </w:rPr>
              <w:t>MWh</w:t>
            </w:r>
            <w:proofErr w:type="spellEnd"/>
            <w:r w:rsidRPr="00A42474">
              <w:rPr>
                <w:rFonts w:ascii="Arial" w:hAnsi="Arial" w:cs="Arial"/>
                <w:b/>
                <w:bCs/>
                <w:sz w:val="18"/>
                <w:szCs w:val="18"/>
              </w:rPr>
              <w:t>)</w:t>
            </w:r>
          </w:p>
        </w:tc>
        <w:tc>
          <w:tcPr>
            <w:tcW w:w="1134" w:type="dxa"/>
            <w:vAlign w:val="center"/>
          </w:tcPr>
          <w:p w14:paraId="61162FAE" w14:textId="5B055356" w:rsidR="00EB3D22" w:rsidRPr="00A42474" w:rsidRDefault="00EB3D22" w:rsidP="00185271">
            <w:pPr>
              <w:spacing w:before="100" w:beforeAutospacing="1" w:after="100" w:afterAutospacing="1"/>
              <w:contextualSpacing/>
              <w:jc w:val="center"/>
              <w:rPr>
                <w:rFonts w:ascii="Arial" w:hAnsi="Arial" w:cs="Arial"/>
                <w:b/>
                <w:bCs/>
                <w:sz w:val="18"/>
                <w:szCs w:val="18"/>
              </w:rPr>
            </w:pPr>
            <w:r w:rsidRPr="00A42474">
              <w:rPr>
                <w:rFonts w:ascii="Arial" w:hAnsi="Arial" w:cs="Arial"/>
                <w:b/>
                <w:bCs/>
                <w:sz w:val="18"/>
                <w:szCs w:val="18"/>
              </w:rPr>
              <w:t>Precio medio gas de operación en 201</w:t>
            </w:r>
            <w:r w:rsidR="00A42474" w:rsidRPr="00A42474">
              <w:rPr>
                <w:rFonts w:ascii="Arial" w:hAnsi="Arial" w:cs="Arial"/>
                <w:b/>
                <w:bCs/>
                <w:sz w:val="18"/>
                <w:szCs w:val="18"/>
              </w:rPr>
              <w:t>9</w:t>
            </w:r>
            <w:r w:rsidRPr="00A42474">
              <w:rPr>
                <w:rFonts w:ascii="Arial" w:hAnsi="Arial" w:cs="Arial"/>
                <w:b/>
                <w:bCs/>
                <w:sz w:val="18"/>
                <w:szCs w:val="18"/>
              </w:rPr>
              <w:t xml:space="preserve"> (€/</w:t>
            </w:r>
            <w:proofErr w:type="spellStart"/>
            <w:r w:rsidRPr="00A42474">
              <w:rPr>
                <w:rFonts w:ascii="Arial" w:hAnsi="Arial" w:cs="Arial"/>
                <w:b/>
                <w:bCs/>
                <w:sz w:val="18"/>
                <w:szCs w:val="18"/>
              </w:rPr>
              <w:t>MWh</w:t>
            </w:r>
            <w:proofErr w:type="spellEnd"/>
            <w:r w:rsidRPr="00A42474">
              <w:rPr>
                <w:rFonts w:ascii="Arial" w:hAnsi="Arial" w:cs="Arial"/>
                <w:b/>
                <w:bCs/>
                <w:sz w:val="18"/>
                <w:szCs w:val="18"/>
              </w:rPr>
              <w:t>)</w:t>
            </w:r>
          </w:p>
        </w:tc>
        <w:tc>
          <w:tcPr>
            <w:tcW w:w="1276" w:type="dxa"/>
            <w:vAlign w:val="center"/>
          </w:tcPr>
          <w:p w14:paraId="2B301CD3" w14:textId="77777777" w:rsidR="00EB3D22" w:rsidRPr="00A42474" w:rsidRDefault="00EB3D22" w:rsidP="000D4E50">
            <w:pPr>
              <w:spacing w:before="100" w:beforeAutospacing="1" w:after="100" w:afterAutospacing="1"/>
              <w:contextualSpacing/>
              <w:jc w:val="center"/>
              <w:rPr>
                <w:rFonts w:ascii="Arial" w:hAnsi="Arial" w:cs="Arial"/>
                <w:b/>
                <w:bCs/>
                <w:sz w:val="18"/>
                <w:szCs w:val="18"/>
              </w:rPr>
            </w:pPr>
            <w:r w:rsidRPr="00A42474">
              <w:rPr>
                <w:rFonts w:ascii="Arial" w:hAnsi="Arial" w:cs="Arial"/>
                <w:b/>
                <w:bCs/>
                <w:sz w:val="18"/>
                <w:szCs w:val="18"/>
              </w:rPr>
              <w:t>A adicionar a la retribución de los titulares de plantas (€)</w:t>
            </w:r>
          </w:p>
        </w:tc>
        <w:tc>
          <w:tcPr>
            <w:tcW w:w="1417" w:type="dxa"/>
            <w:vAlign w:val="center"/>
          </w:tcPr>
          <w:p w14:paraId="6FCE92BB" w14:textId="77777777" w:rsidR="00EB3D22" w:rsidRPr="00A42474" w:rsidRDefault="00EB3D22" w:rsidP="000D4E50">
            <w:pPr>
              <w:spacing w:before="100" w:beforeAutospacing="1" w:after="100" w:afterAutospacing="1"/>
              <w:contextualSpacing/>
              <w:jc w:val="center"/>
              <w:rPr>
                <w:rFonts w:ascii="Arial" w:hAnsi="Arial" w:cs="Arial"/>
                <w:b/>
                <w:bCs/>
                <w:sz w:val="18"/>
                <w:szCs w:val="18"/>
              </w:rPr>
            </w:pPr>
            <w:r w:rsidRPr="00A42474">
              <w:rPr>
                <w:rFonts w:ascii="Arial" w:hAnsi="Arial" w:cs="Arial"/>
                <w:b/>
                <w:bCs/>
                <w:sz w:val="18"/>
                <w:szCs w:val="18"/>
              </w:rPr>
              <w:t>A descontar de la retribución de los titulares de plantas (€)</w:t>
            </w:r>
          </w:p>
        </w:tc>
        <w:tc>
          <w:tcPr>
            <w:tcW w:w="1417" w:type="dxa"/>
            <w:vAlign w:val="center"/>
          </w:tcPr>
          <w:p w14:paraId="62E00618" w14:textId="77777777" w:rsidR="00EB3D22" w:rsidRPr="00A42474" w:rsidRDefault="00EB3D22" w:rsidP="000D4E50">
            <w:pPr>
              <w:spacing w:before="100" w:beforeAutospacing="1" w:after="100" w:afterAutospacing="1"/>
              <w:contextualSpacing/>
              <w:jc w:val="center"/>
              <w:rPr>
                <w:rFonts w:ascii="Arial" w:hAnsi="Arial" w:cs="Arial"/>
                <w:b/>
                <w:bCs/>
                <w:sz w:val="18"/>
                <w:szCs w:val="18"/>
              </w:rPr>
            </w:pPr>
            <w:r w:rsidRPr="00A42474">
              <w:rPr>
                <w:rFonts w:ascii="Arial" w:hAnsi="Arial" w:cs="Arial"/>
                <w:b/>
                <w:bCs/>
                <w:sz w:val="18"/>
                <w:szCs w:val="18"/>
              </w:rPr>
              <w:t xml:space="preserve">Total a </w:t>
            </w:r>
            <w:r w:rsidR="00976B90" w:rsidRPr="00A42474">
              <w:rPr>
                <w:rFonts w:ascii="Arial" w:hAnsi="Arial" w:cs="Arial"/>
                <w:b/>
                <w:bCs/>
                <w:sz w:val="18"/>
                <w:szCs w:val="18"/>
              </w:rPr>
              <w:t>considerar en retribución de titulares de plantas (€)</w:t>
            </w:r>
          </w:p>
        </w:tc>
      </w:tr>
      <w:tr w:rsidR="00A42474" w:rsidRPr="00A42474" w14:paraId="6D75F65B" w14:textId="77777777" w:rsidTr="00625784">
        <w:trPr>
          <w:trHeight w:val="340"/>
          <w:jc w:val="center"/>
        </w:trPr>
        <w:tc>
          <w:tcPr>
            <w:tcW w:w="1276" w:type="dxa"/>
            <w:vMerge w:val="restart"/>
            <w:vAlign w:val="center"/>
          </w:tcPr>
          <w:p w14:paraId="63EF81E0" w14:textId="77777777" w:rsidR="00185271" w:rsidRPr="00A42474" w:rsidRDefault="00185271" w:rsidP="00185271">
            <w:pPr>
              <w:spacing w:before="100" w:beforeAutospacing="1" w:after="100" w:afterAutospacing="1"/>
              <w:contextualSpacing/>
              <w:jc w:val="right"/>
              <w:rPr>
                <w:rFonts w:ascii="Arial" w:hAnsi="Arial" w:cs="Arial"/>
                <w:sz w:val="18"/>
                <w:szCs w:val="18"/>
              </w:rPr>
            </w:pPr>
            <w:r w:rsidRPr="00A42474">
              <w:rPr>
                <w:rFonts w:ascii="Arial" w:hAnsi="Arial" w:cs="Arial"/>
                <w:sz w:val="18"/>
                <w:szCs w:val="18"/>
              </w:rPr>
              <w:t>Enagás</w:t>
            </w:r>
          </w:p>
        </w:tc>
        <w:tc>
          <w:tcPr>
            <w:tcW w:w="993" w:type="dxa"/>
            <w:vAlign w:val="center"/>
          </w:tcPr>
          <w:p w14:paraId="76565300" w14:textId="77777777" w:rsidR="00185271" w:rsidRPr="00A42474" w:rsidRDefault="00185271" w:rsidP="00185271">
            <w:pPr>
              <w:spacing w:before="100" w:beforeAutospacing="1" w:after="100" w:afterAutospacing="1"/>
              <w:ind w:left="-108"/>
              <w:contextualSpacing/>
              <w:jc w:val="right"/>
              <w:rPr>
                <w:rFonts w:ascii="Arial" w:hAnsi="Arial" w:cs="Arial"/>
                <w:sz w:val="18"/>
                <w:szCs w:val="18"/>
              </w:rPr>
            </w:pPr>
            <w:r w:rsidRPr="00A42474">
              <w:rPr>
                <w:rFonts w:ascii="Arial" w:hAnsi="Arial" w:cs="Arial"/>
                <w:sz w:val="18"/>
                <w:szCs w:val="18"/>
              </w:rPr>
              <w:t>Barcelona</w:t>
            </w:r>
          </w:p>
        </w:tc>
        <w:tc>
          <w:tcPr>
            <w:tcW w:w="1275" w:type="dxa"/>
            <w:vAlign w:val="center"/>
          </w:tcPr>
          <w:p w14:paraId="68BB2507" w14:textId="05D1E98D" w:rsidR="00185271" w:rsidRPr="00A42474" w:rsidRDefault="00A42474" w:rsidP="007F2556">
            <w:pPr>
              <w:jc w:val="right"/>
              <w:rPr>
                <w:rFonts w:ascii="Arial" w:hAnsi="Arial" w:cs="Arial"/>
                <w:sz w:val="18"/>
                <w:szCs w:val="18"/>
              </w:rPr>
            </w:pPr>
            <w:r w:rsidRPr="00A42474">
              <w:rPr>
                <w:rFonts w:ascii="Arial" w:hAnsi="Arial" w:cs="Arial"/>
                <w:sz w:val="18"/>
                <w:szCs w:val="18"/>
              </w:rPr>
              <w:t>-34.332,30</w:t>
            </w:r>
          </w:p>
        </w:tc>
        <w:tc>
          <w:tcPr>
            <w:tcW w:w="1418" w:type="dxa"/>
            <w:vAlign w:val="center"/>
          </w:tcPr>
          <w:p w14:paraId="6E886B76" w14:textId="4CE0A0EF" w:rsidR="00185271" w:rsidRPr="00A42474" w:rsidRDefault="00A42474" w:rsidP="007F2556">
            <w:pPr>
              <w:jc w:val="right"/>
              <w:rPr>
                <w:rFonts w:ascii="Arial" w:hAnsi="Arial" w:cs="Arial"/>
                <w:sz w:val="18"/>
                <w:szCs w:val="18"/>
              </w:rPr>
            </w:pPr>
            <w:r w:rsidRPr="00A42474">
              <w:rPr>
                <w:rFonts w:ascii="Arial" w:hAnsi="Arial" w:cs="Arial"/>
                <w:sz w:val="18"/>
                <w:szCs w:val="18"/>
              </w:rPr>
              <w:t>-17.166,15</w:t>
            </w:r>
          </w:p>
        </w:tc>
        <w:tc>
          <w:tcPr>
            <w:tcW w:w="1134" w:type="dxa"/>
            <w:vMerge w:val="restart"/>
            <w:vAlign w:val="center"/>
          </w:tcPr>
          <w:p w14:paraId="028F799E" w14:textId="6DCBB710" w:rsidR="00185271" w:rsidRPr="00A42474" w:rsidRDefault="00A42474" w:rsidP="00185271">
            <w:pPr>
              <w:spacing w:before="100" w:beforeAutospacing="1" w:after="100" w:afterAutospacing="1"/>
              <w:contextualSpacing/>
              <w:jc w:val="center"/>
              <w:rPr>
                <w:rFonts w:ascii="Arial" w:hAnsi="Arial" w:cs="Arial"/>
                <w:sz w:val="18"/>
                <w:szCs w:val="18"/>
              </w:rPr>
            </w:pPr>
            <w:r w:rsidRPr="00A42474">
              <w:rPr>
                <w:rFonts w:ascii="Arial" w:hAnsi="Arial" w:cs="Arial"/>
                <w:sz w:val="18"/>
                <w:szCs w:val="18"/>
              </w:rPr>
              <w:t>15</w:t>
            </w:r>
            <w:r w:rsidR="00185271" w:rsidRPr="00A42474">
              <w:rPr>
                <w:rFonts w:ascii="Arial" w:hAnsi="Arial" w:cs="Arial"/>
                <w:sz w:val="18"/>
                <w:szCs w:val="18"/>
              </w:rPr>
              <w:t>,5</w:t>
            </w:r>
            <w:r w:rsidRPr="00A42474">
              <w:rPr>
                <w:rFonts w:ascii="Arial" w:hAnsi="Arial" w:cs="Arial"/>
                <w:sz w:val="18"/>
                <w:szCs w:val="18"/>
              </w:rPr>
              <w:t>2</w:t>
            </w:r>
          </w:p>
        </w:tc>
        <w:tc>
          <w:tcPr>
            <w:tcW w:w="1276" w:type="dxa"/>
            <w:vAlign w:val="center"/>
          </w:tcPr>
          <w:p w14:paraId="55395DAA" w14:textId="2877266A" w:rsidR="00185271" w:rsidRPr="00A42474" w:rsidRDefault="00A42474" w:rsidP="005B5B59">
            <w:pPr>
              <w:spacing w:before="100" w:beforeAutospacing="1" w:after="100" w:afterAutospacing="1"/>
              <w:contextualSpacing/>
              <w:jc w:val="right"/>
              <w:rPr>
                <w:rFonts w:ascii="Arial" w:hAnsi="Arial" w:cs="Arial"/>
                <w:sz w:val="18"/>
                <w:szCs w:val="18"/>
              </w:rPr>
            </w:pPr>
            <w:r w:rsidRPr="00A42474">
              <w:rPr>
                <w:rFonts w:ascii="Arial" w:hAnsi="Arial" w:cs="Arial"/>
                <w:sz w:val="18"/>
                <w:szCs w:val="18"/>
              </w:rPr>
              <w:t>266.418,62</w:t>
            </w:r>
          </w:p>
        </w:tc>
        <w:tc>
          <w:tcPr>
            <w:tcW w:w="1417" w:type="dxa"/>
            <w:vAlign w:val="center"/>
          </w:tcPr>
          <w:p w14:paraId="14CB369A" w14:textId="77777777" w:rsidR="00185271" w:rsidRPr="00A42474" w:rsidRDefault="00185271" w:rsidP="00185271">
            <w:pPr>
              <w:spacing w:before="100" w:beforeAutospacing="1" w:after="100" w:afterAutospacing="1"/>
              <w:contextualSpacing/>
              <w:jc w:val="center"/>
              <w:rPr>
                <w:rFonts w:ascii="Arial" w:hAnsi="Arial" w:cs="Arial"/>
                <w:sz w:val="18"/>
                <w:szCs w:val="18"/>
              </w:rPr>
            </w:pPr>
            <w:r w:rsidRPr="00A42474">
              <w:rPr>
                <w:rFonts w:ascii="Arial" w:hAnsi="Arial" w:cs="Arial"/>
                <w:sz w:val="18"/>
                <w:szCs w:val="18"/>
              </w:rPr>
              <w:t>---</w:t>
            </w:r>
          </w:p>
        </w:tc>
        <w:tc>
          <w:tcPr>
            <w:tcW w:w="1417" w:type="dxa"/>
            <w:vMerge w:val="restart"/>
            <w:vAlign w:val="center"/>
          </w:tcPr>
          <w:p w14:paraId="52FA7561" w14:textId="081B2108" w:rsidR="00185271" w:rsidRPr="00A42474" w:rsidRDefault="00A42474" w:rsidP="005B5B59">
            <w:pPr>
              <w:spacing w:before="100" w:beforeAutospacing="1" w:after="100" w:afterAutospacing="1"/>
              <w:contextualSpacing/>
              <w:jc w:val="right"/>
              <w:rPr>
                <w:rFonts w:ascii="Arial" w:hAnsi="Arial" w:cs="Arial"/>
                <w:b/>
                <w:sz w:val="18"/>
                <w:szCs w:val="18"/>
              </w:rPr>
            </w:pPr>
            <w:r w:rsidRPr="00A42474">
              <w:rPr>
                <w:rFonts w:ascii="Arial" w:hAnsi="Arial" w:cs="Arial"/>
                <w:b/>
                <w:sz w:val="18"/>
                <w:szCs w:val="18"/>
              </w:rPr>
              <w:t>1.038.922,58</w:t>
            </w:r>
          </w:p>
        </w:tc>
      </w:tr>
      <w:tr w:rsidR="00A42474" w:rsidRPr="00A42474" w14:paraId="4461561A" w14:textId="77777777" w:rsidTr="00625784">
        <w:trPr>
          <w:trHeight w:val="340"/>
          <w:jc w:val="center"/>
        </w:trPr>
        <w:tc>
          <w:tcPr>
            <w:tcW w:w="1276" w:type="dxa"/>
            <w:vMerge/>
            <w:vAlign w:val="center"/>
          </w:tcPr>
          <w:p w14:paraId="61790561" w14:textId="77777777" w:rsidR="00185271" w:rsidRPr="00A42474" w:rsidRDefault="00185271" w:rsidP="00185271">
            <w:pPr>
              <w:spacing w:before="100" w:beforeAutospacing="1" w:after="100" w:afterAutospacing="1"/>
              <w:contextualSpacing/>
              <w:jc w:val="center"/>
              <w:rPr>
                <w:rFonts w:ascii="Arial" w:hAnsi="Arial" w:cs="Arial"/>
                <w:sz w:val="18"/>
                <w:szCs w:val="18"/>
              </w:rPr>
            </w:pPr>
          </w:p>
        </w:tc>
        <w:tc>
          <w:tcPr>
            <w:tcW w:w="993" w:type="dxa"/>
            <w:vAlign w:val="center"/>
          </w:tcPr>
          <w:p w14:paraId="7AD0520C" w14:textId="77777777" w:rsidR="00185271" w:rsidRPr="00A42474" w:rsidRDefault="00185271" w:rsidP="00185271">
            <w:pPr>
              <w:spacing w:before="100" w:beforeAutospacing="1" w:after="100" w:afterAutospacing="1"/>
              <w:ind w:left="-108"/>
              <w:contextualSpacing/>
              <w:jc w:val="right"/>
              <w:rPr>
                <w:rFonts w:ascii="Arial" w:hAnsi="Arial" w:cs="Arial"/>
                <w:sz w:val="18"/>
                <w:szCs w:val="18"/>
              </w:rPr>
            </w:pPr>
            <w:r w:rsidRPr="00A42474">
              <w:rPr>
                <w:rFonts w:ascii="Arial" w:hAnsi="Arial" w:cs="Arial"/>
                <w:sz w:val="18"/>
                <w:szCs w:val="18"/>
              </w:rPr>
              <w:t>Cartagena</w:t>
            </w:r>
          </w:p>
        </w:tc>
        <w:tc>
          <w:tcPr>
            <w:tcW w:w="1275" w:type="dxa"/>
            <w:vAlign w:val="center"/>
          </w:tcPr>
          <w:p w14:paraId="24E88136" w14:textId="5D7C6D4A" w:rsidR="00185271" w:rsidRPr="00A42474" w:rsidRDefault="00A42474" w:rsidP="00185271">
            <w:pPr>
              <w:jc w:val="right"/>
              <w:rPr>
                <w:rFonts w:ascii="Arial" w:hAnsi="Arial" w:cs="Arial"/>
                <w:sz w:val="18"/>
                <w:szCs w:val="18"/>
              </w:rPr>
            </w:pPr>
            <w:r w:rsidRPr="00A42474">
              <w:rPr>
                <w:rFonts w:ascii="Arial" w:hAnsi="Arial" w:cs="Arial"/>
                <w:sz w:val="18"/>
                <w:szCs w:val="18"/>
              </w:rPr>
              <w:t>-40.607,77</w:t>
            </w:r>
          </w:p>
        </w:tc>
        <w:tc>
          <w:tcPr>
            <w:tcW w:w="1418" w:type="dxa"/>
            <w:vAlign w:val="center"/>
          </w:tcPr>
          <w:p w14:paraId="06B1A8FF" w14:textId="38655A6B" w:rsidR="00185271" w:rsidRPr="00A42474" w:rsidRDefault="00A42474" w:rsidP="00185271">
            <w:pPr>
              <w:jc w:val="right"/>
              <w:rPr>
                <w:rFonts w:ascii="Arial" w:hAnsi="Arial" w:cs="Arial"/>
                <w:sz w:val="18"/>
                <w:szCs w:val="18"/>
              </w:rPr>
            </w:pPr>
            <w:r w:rsidRPr="00A42474">
              <w:rPr>
                <w:rFonts w:ascii="Arial" w:hAnsi="Arial" w:cs="Arial"/>
                <w:sz w:val="18"/>
                <w:szCs w:val="18"/>
              </w:rPr>
              <w:t>-20.303,89</w:t>
            </w:r>
          </w:p>
        </w:tc>
        <w:tc>
          <w:tcPr>
            <w:tcW w:w="1134" w:type="dxa"/>
            <w:vMerge/>
            <w:vAlign w:val="center"/>
          </w:tcPr>
          <w:p w14:paraId="68ACF0D6" w14:textId="77777777" w:rsidR="00185271" w:rsidRPr="00A42474" w:rsidRDefault="00185271" w:rsidP="00185271">
            <w:pPr>
              <w:spacing w:before="100" w:beforeAutospacing="1" w:after="100" w:afterAutospacing="1"/>
              <w:contextualSpacing/>
              <w:jc w:val="center"/>
              <w:rPr>
                <w:rFonts w:ascii="Arial" w:hAnsi="Arial" w:cs="Arial"/>
                <w:sz w:val="18"/>
                <w:szCs w:val="18"/>
              </w:rPr>
            </w:pPr>
          </w:p>
        </w:tc>
        <w:tc>
          <w:tcPr>
            <w:tcW w:w="1276" w:type="dxa"/>
            <w:vAlign w:val="center"/>
          </w:tcPr>
          <w:p w14:paraId="4DA03668" w14:textId="7D624C97" w:rsidR="00185271" w:rsidRPr="00A42474" w:rsidRDefault="00A42474" w:rsidP="00185271">
            <w:pPr>
              <w:spacing w:before="100" w:beforeAutospacing="1" w:after="100" w:afterAutospacing="1"/>
              <w:contextualSpacing/>
              <w:jc w:val="right"/>
              <w:rPr>
                <w:rFonts w:ascii="Arial" w:hAnsi="Arial" w:cs="Arial"/>
                <w:sz w:val="18"/>
                <w:szCs w:val="18"/>
              </w:rPr>
            </w:pPr>
            <w:r w:rsidRPr="00A42474">
              <w:rPr>
                <w:rFonts w:ascii="Arial" w:hAnsi="Arial" w:cs="Arial"/>
                <w:sz w:val="18"/>
                <w:szCs w:val="18"/>
              </w:rPr>
              <w:t>315.116,31</w:t>
            </w:r>
          </w:p>
        </w:tc>
        <w:tc>
          <w:tcPr>
            <w:tcW w:w="1417" w:type="dxa"/>
            <w:vAlign w:val="center"/>
          </w:tcPr>
          <w:p w14:paraId="16540681" w14:textId="77777777" w:rsidR="00185271" w:rsidRPr="00A42474" w:rsidRDefault="00185271" w:rsidP="00185271">
            <w:pPr>
              <w:spacing w:before="100" w:beforeAutospacing="1" w:after="100" w:afterAutospacing="1"/>
              <w:contextualSpacing/>
              <w:jc w:val="center"/>
              <w:rPr>
                <w:rFonts w:ascii="Arial" w:hAnsi="Arial" w:cs="Arial"/>
                <w:sz w:val="18"/>
                <w:szCs w:val="18"/>
              </w:rPr>
            </w:pPr>
            <w:r w:rsidRPr="00A42474">
              <w:rPr>
                <w:rFonts w:ascii="Arial" w:hAnsi="Arial" w:cs="Arial"/>
                <w:sz w:val="18"/>
                <w:szCs w:val="18"/>
              </w:rPr>
              <w:t>---</w:t>
            </w:r>
          </w:p>
        </w:tc>
        <w:tc>
          <w:tcPr>
            <w:tcW w:w="1417" w:type="dxa"/>
            <w:vMerge/>
            <w:vAlign w:val="center"/>
          </w:tcPr>
          <w:p w14:paraId="308A4AB9" w14:textId="77777777" w:rsidR="00185271" w:rsidRPr="00A42474" w:rsidRDefault="00185271" w:rsidP="00185271">
            <w:pPr>
              <w:spacing w:before="100" w:beforeAutospacing="1" w:after="100" w:afterAutospacing="1"/>
              <w:contextualSpacing/>
              <w:jc w:val="right"/>
              <w:rPr>
                <w:rFonts w:ascii="Arial" w:hAnsi="Arial" w:cs="Arial"/>
                <w:b/>
                <w:sz w:val="18"/>
                <w:szCs w:val="18"/>
              </w:rPr>
            </w:pPr>
          </w:p>
        </w:tc>
      </w:tr>
      <w:tr w:rsidR="00A42474" w:rsidRPr="00A42474" w14:paraId="121EBB32" w14:textId="77777777" w:rsidTr="00625784">
        <w:trPr>
          <w:trHeight w:val="340"/>
          <w:jc w:val="center"/>
        </w:trPr>
        <w:tc>
          <w:tcPr>
            <w:tcW w:w="1276" w:type="dxa"/>
            <w:vMerge/>
            <w:vAlign w:val="center"/>
          </w:tcPr>
          <w:p w14:paraId="6530F471" w14:textId="77777777" w:rsidR="00185271" w:rsidRPr="00A42474" w:rsidRDefault="00185271" w:rsidP="00185271">
            <w:pPr>
              <w:spacing w:before="100" w:beforeAutospacing="1" w:after="100" w:afterAutospacing="1"/>
              <w:contextualSpacing/>
              <w:jc w:val="center"/>
              <w:rPr>
                <w:rFonts w:ascii="Arial" w:hAnsi="Arial" w:cs="Arial"/>
                <w:sz w:val="18"/>
                <w:szCs w:val="18"/>
              </w:rPr>
            </w:pPr>
          </w:p>
        </w:tc>
        <w:tc>
          <w:tcPr>
            <w:tcW w:w="993" w:type="dxa"/>
            <w:vAlign w:val="center"/>
          </w:tcPr>
          <w:p w14:paraId="221E7A74" w14:textId="77777777" w:rsidR="00185271" w:rsidRPr="00A42474" w:rsidRDefault="00185271" w:rsidP="00185271">
            <w:pPr>
              <w:spacing w:before="100" w:beforeAutospacing="1" w:after="100" w:afterAutospacing="1"/>
              <w:ind w:left="-108"/>
              <w:contextualSpacing/>
              <w:jc w:val="right"/>
              <w:rPr>
                <w:rFonts w:ascii="Arial" w:hAnsi="Arial" w:cs="Arial"/>
                <w:sz w:val="18"/>
                <w:szCs w:val="18"/>
              </w:rPr>
            </w:pPr>
            <w:r w:rsidRPr="00A42474">
              <w:rPr>
                <w:rFonts w:ascii="Arial" w:hAnsi="Arial" w:cs="Arial"/>
                <w:sz w:val="18"/>
                <w:szCs w:val="18"/>
              </w:rPr>
              <w:t>Huelva</w:t>
            </w:r>
          </w:p>
        </w:tc>
        <w:tc>
          <w:tcPr>
            <w:tcW w:w="1275" w:type="dxa"/>
            <w:vAlign w:val="center"/>
          </w:tcPr>
          <w:p w14:paraId="064C8119" w14:textId="640C12BE" w:rsidR="00185271" w:rsidRPr="00A42474" w:rsidRDefault="00A42474" w:rsidP="00185271">
            <w:pPr>
              <w:jc w:val="right"/>
              <w:rPr>
                <w:rFonts w:ascii="Arial" w:hAnsi="Arial" w:cs="Arial"/>
                <w:sz w:val="18"/>
                <w:szCs w:val="18"/>
              </w:rPr>
            </w:pPr>
            <w:r w:rsidRPr="00A42474">
              <w:rPr>
                <w:rFonts w:ascii="Arial" w:hAnsi="Arial" w:cs="Arial"/>
                <w:sz w:val="18"/>
                <w:szCs w:val="18"/>
              </w:rPr>
              <w:t>-58.941,71</w:t>
            </w:r>
          </w:p>
        </w:tc>
        <w:tc>
          <w:tcPr>
            <w:tcW w:w="1418" w:type="dxa"/>
            <w:vAlign w:val="center"/>
          </w:tcPr>
          <w:p w14:paraId="40013E1A" w14:textId="49E3C126" w:rsidR="00185271" w:rsidRPr="00A42474" w:rsidRDefault="00A42474" w:rsidP="00185271">
            <w:pPr>
              <w:jc w:val="right"/>
              <w:rPr>
                <w:rFonts w:ascii="Arial" w:hAnsi="Arial" w:cs="Arial"/>
                <w:sz w:val="18"/>
                <w:szCs w:val="18"/>
              </w:rPr>
            </w:pPr>
            <w:r w:rsidRPr="00A42474">
              <w:rPr>
                <w:rFonts w:ascii="Arial" w:hAnsi="Arial" w:cs="Arial"/>
                <w:sz w:val="18"/>
                <w:szCs w:val="18"/>
              </w:rPr>
              <w:t>-29.470,85</w:t>
            </w:r>
          </w:p>
        </w:tc>
        <w:tc>
          <w:tcPr>
            <w:tcW w:w="1134" w:type="dxa"/>
            <w:vMerge/>
            <w:vAlign w:val="center"/>
          </w:tcPr>
          <w:p w14:paraId="0AB830C2" w14:textId="77777777" w:rsidR="00185271" w:rsidRPr="00A42474" w:rsidRDefault="00185271" w:rsidP="00185271">
            <w:pPr>
              <w:spacing w:before="100" w:beforeAutospacing="1" w:after="100" w:afterAutospacing="1"/>
              <w:contextualSpacing/>
              <w:jc w:val="center"/>
              <w:rPr>
                <w:rFonts w:ascii="Arial" w:hAnsi="Arial" w:cs="Arial"/>
                <w:sz w:val="18"/>
                <w:szCs w:val="18"/>
              </w:rPr>
            </w:pPr>
          </w:p>
        </w:tc>
        <w:tc>
          <w:tcPr>
            <w:tcW w:w="1276" w:type="dxa"/>
            <w:vAlign w:val="center"/>
          </w:tcPr>
          <w:p w14:paraId="573336A0" w14:textId="5AF0DECA" w:rsidR="00185271" w:rsidRPr="00A42474" w:rsidRDefault="00A42474" w:rsidP="00185271">
            <w:pPr>
              <w:spacing w:before="100" w:beforeAutospacing="1" w:after="100" w:afterAutospacing="1"/>
              <w:contextualSpacing/>
              <w:jc w:val="right"/>
              <w:rPr>
                <w:rFonts w:ascii="Arial" w:hAnsi="Arial" w:cs="Arial"/>
                <w:sz w:val="18"/>
                <w:szCs w:val="18"/>
              </w:rPr>
            </w:pPr>
            <w:r w:rsidRPr="00A42474">
              <w:rPr>
                <w:rFonts w:ascii="Arial" w:hAnsi="Arial" w:cs="Arial"/>
                <w:sz w:val="18"/>
                <w:szCs w:val="18"/>
              </w:rPr>
              <w:t>457.387,65</w:t>
            </w:r>
          </w:p>
        </w:tc>
        <w:tc>
          <w:tcPr>
            <w:tcW w:w="1417" w:type="dxa"/>
            <w:vAlign w:val="center"/>
          </w:tcPr>
          <w:p w14:paraId="62C38226" w14:textId="77777777" w:rsidR="00185271" w:rsidRPr="00A42474" w:rsidRDefault="00185271" w:rsidP="00185271">
            <w:pPr>
              <w:spacing w:before="100" w:beforeAutospacing="1" w:after="100" w:afterAutospacing="1"/>
              <w:contextualSpacing/>
              <w:jc w:val="center"/>
              <w:rPr>
                <w:rFonts w:ascii="Arial" w:hAnsi="Arial" w:cs="Arial"/>
                <w:sz w:val="18"/>
                <w:szCs w:val="18"/>
              </w:rPr>
            </w:pPr>
            <w:r w:rsidRPr="00A42474">
              <w:rPr>
                <w:rFonts w:ascii="Arial" w:hAnsi="Arial" w:cs="Arial"/>
                <w:sz w:val="18"/>
                <w:szCs w:val="18"/>
              </w:rPr>
              <w:t>---</w:t>
            </w:r>
          </w:p>
        </w:tc>
        <w:tc>
          <w:tcPr>
            <w:tcW w:w="1417" w:type="dxa"/>
            <w:vMerge/>
            <w:vAlign w:val="center"/>
          </w:tcPr>
          <w:p w14:paraId="0164C679" w14:textId="77777777" w:rsidR="00185271" w:rsidRPr="00A42474" w:rsidRDefault="00185271" w:rsidP="00185271">
            <w:pPr>
              <w:spacing w:before="100" w:beforeAutospacing="1" w:after="100" w:afterAutospacing="1"/>
              <w:contextualSpacing/>
              <w:jc w:val="right"/>
              <w:rPr>
                <w:rFonts w:ascii="Arial" w:hAnsi="Arial" w:cs="Arial"/>
                <w:b/>
                <w:sz w:val="18"/>
                <w:szCs w:val="18"/>
              </w:rPr>
            </w:pPr>
          </w:p>
        </w:tc>
      </w:tr>
      <w:tr w:rsidR="00A42474" w:rsidRPr="00A42474" w14:paraId="12315D6E" w14:textId="77777777" w:rsidTr="00625784">
        <w:trPr>
          <w:trHeight w:val="340"/>
          <w:jc w:val="center"/>
        </w:trPr>
        <w:tc>
          <w:tcPr>
            <w:tcW w:w="1276" w:type="dxa"/>
            <w:vAlign w:val="center"/>
          </w:tcPr>
          <w:p w14:paraId="40001939" w14:textId="77777777" w:rsidR="00185271" w:rsidRPr="00A42474" w:rsidRDefault="00185271" w:rsidP="00185271">
            <w:pPr>
              <w:spacing w:before="100" w:beforeAutospacing="1" w:after="100" w:afterAutospacing="1"/>
              <w:contextualSpacing/>
              <w:jc w:val="right"/>
              <w:rPr>
                <w:rFonts w:ascii="Arial" w:hAnsi="Arial" w:cs="Arial"/>
                <w:sz w:val="18"/>
                <w:szCs w:val="18"/>
              </w:rPr>
            </w:pPr>
            <w:r w:rsidRPr="00A42474">
              <w:rPr>
                <w:rFonts w:ascii="Arial" w:hAnsi="Arial" w:cs="Arial"/>
                <w:sz w:val="18"/>
                <w:szCs w:val="18"/>
              </w:rPr>
              <w:t>BBG</w:t>
            </w:r>
          </w:p>
        </w:tc>
        <w:tc>
          <w:tcPr>
            <w:tcW w:w="993" w:type="dxa"/>
            <w:vAlign w:val="center"/>
          </w:tcPr>
          <w:p w14:paraId="5ED47D8E" w14:textId="77777777" w:rsidR="00185271" w:rsidRPr="00A42474" w:rsidRDefault="00185271" w:rsidP="00185271">
            <w:pPr>
              <w:spacing w:before="100" w:beforeAutospacing="1" w:after="100" w:afterAutospacing="1"/>
              <w:ind w:left="-108"/>
              <w:contextualSpacing/>
              <w:jc w:val="right"/>
              <w:rPr>
                <w:rFonts w:ascii="Arial" w:hAnsi="Arial" w:cs="Arial"/>
                <w:sz w:val="18"/>
                <w:szCs w:val="18"/>
              </w:rPr>
            </w:pPr>
            <w:r w:rsidRPr="00A42474">
              <w:rPr>
                <w:rFonts w:ascii="Arial" w:hAnsi="Arial" w:cs="Arial"/>
                <w:sz w:val="18"/>
                <w:szCs w:val="18"/>
              </w:rPr>
              <w:t>Bilbao</w:t>
            </w:r>
          </w:p>
        </w:tc>
        <w:tc>
          <w:tcPr>
            <w:tcW w:w="1275" w:type="dxa"/>
            <w:vAlign w:val="center"/>
          </w:tcPr>
          <w:p w14:paraId="18E18AA7" w14:textId="1DE1F051" w:rsidR="00185271" w:rsidRPr="00A42474" w:rsidRDefault="00A42474" w:rsidP="00185271">
            <w:pPr>
              <w:jc w:val="right"/>
              <w:rPr>
                <w:rFonts w:ascii="Arial" w:hAnsi="Arial" w:cs="Arial"/>
                <w:sz w:val="18"/>
                <w:szCs w:val="18"/>
              </w:rPr>
            </w:pPr>
            <w:r w:rsidRPr="00A42474">
              <w:rPr>
                <w:rFonts w:ascii="Arial" w:hAnsi="Arial" w:cs="Arial"/>
                <w:sz w:val="18"/>
                <w:szCs w:val="18"/>
              </w:rPr>
              <w:t>-355.364,88</w:t>
            </w:r>
          </w:p>
        </w:tc>
        <w:tc>
          <w:tcPr>
            <w:tcW w:w="1418" w:type="dxa"/>
            <w:vAlign w:val="center"/>
          </w:tcPr>
          <w:p w14:paraId="1F90E8E2" w14:textId="4281DD65" w:rsidR="00185271" w:rsidRPr="00A42474" w:rsidRDefault="00A42474" w:rsidP="00185271">
            <w:pPr>
              <w:jc w:val="right"/>
              <w:rPr>
                <w:rFonts w:ascii="Arial" w:hAnsi="Arial" w:cs="Arial"/>
                <w:sz w:val="18"/>
                <w:szCs w:val="18"/>
              </w:rPr>
            </w:pPr>
            <w:r w:rsidRPr="00A42474">
              <w:rPr>
                <w:rFonts w:ascii="Arial" w:hAnsi="Arial" w:cs="Arial"/>
                <w:sz w:val="18"/>
                <w:szCs w:val="18"/>
              </w:rPr>
              <w:t>-177.682,44</w:t>
            </w:r>
          </w:p>
        </w:tc>
        <w:tc>
          <w:tcPr>
            <w:tcW w:w="1134" w:type="dxa"/>
            <w:vMerge/>
            <w:vAlign w:val="center"/>
          </w:tcPr>
          <w:p w14:paraId="1542F321" w14:textId="77777777" w:rsidR="00185271" w:rsidRPr="00A42474" w:rsidRDefault="00185271" w:rsidP="00185271">
            <w:pPr>
              <w:spacing w:before="100" w:beforeAutospacing="1" w:after="100" w:afterAutospacing="1"/>
              <w:contextualSpacing/>
              <w:jc w:val="center"/>
              <w:rPr>
                <w:rFonts w:ascii="Arial" w:hAnsi="Arial" w:cs="Arial"/>
                <w:sz w:val="18"/>
                <w:szCs w:val="18"/>
              </w:rPr>
            </w:pPr>
          </w:p>
        </w:tc>
        <w:tc>
          <w:tcPr>
            <w:tcW w:w="1276" w:type="dxa"/>
            <w:vAlign w:val="center"/>
          </w:tcPr>
          <w:p w14:paraId="44760856" w14:textId="642D3155" w:rsidR="00185271" w:rsidRPr="00A42474" w:rsidRDefault="00A42474" w:rsidP="00185271">
            <w:pPr>
              <w:spacing w:before="100" w:beforeAutospacing="1" w:after="100" w:afterAutospacing="1"/>
              <w:contextualSpacing/>
              <w:jc w:val="right"/>
              <w:rPr>
                <w:rFonts w:ascii="Arial" w:hAnsi="Arial" w:cs="Arial"/>
                <w:sz w:val="18"/>
                <w:szCs w:val="18"/>
              </w:rPr>
            </w:pPr>
            <w:r w:rsidRPr="00A42474">
              <w:rPr>
                <w:rFonts w:ascii="Arial" w:hAnsi="Arial" w:cs="Arial"/>
                <w:sz w:val="18"/>
                <w:szCs w:val="18"/>
              </w:rPr>
              <w:t>2.757.631,49</w:t>
            </w:r>
          </w:p>
        </w:tc>
        <w:tc>
          <w:tcPr>
            <w:tcW w:w="1417" w:type="dxa"/>
          </w:tcPr>
          <w:p w14:paraId="7F2AB2CA" w14:textId="77777777" w:rsidR="00185271" w:rsidRPr="00A42474" w:rsidRDefault="00185271" w:rsidP="00185271">
            <w:pPr>
              <w:spacing w:before="100" w:beforeAutospacing="1" w:after="100" w:afterAutospacing="1"/>
              <w:contextualSpacing/>
              <w:jc w:val="center"/>
              <w:rPr>
                <w:rFonts w:ascii="Arial" w:hAnsi="Arial" w:cs="Arial"/>
                <w:sz w:val="18"/>
                <w:szCs w:val="18"/>
              </w:rPr>
            </w:pPr>
            <w:r w:rsidRPr="00A42474">
              <w:rPr>
                <w:rFonts w:ascii="Arial" w:hAnsi="Arial" w:cs="Arial"/>
                <w:sz w:val="18"/>
                <w:szCs w:val="18"/>
              </w:rPr>
              <w:t>---</w:t>
            </w:r>
          </w:p>
        </w:tc>
        <w:tc>
          <w:tcPr>
            <w:tcW w:w="1417" w:type="dxa"/>
            <w:vAlign w:val="center"/>
          </w:tcPr>
          <w:p w14:paraId="2419F0A3" w14:textId="1A17FE3F" w:rsidR="00185271" w:rsidRPr="00A42474" w:rsidRDefault="00A42474" w:rsidP="00185271">
            <w:pPr>
              <w:spacing w:before="100" w:beforeAutospacing="1" w:after="100" w:afterAutospacing="1"/>
              <w:contextualSpacing/>
              <w:jc w:val="right"/>
              <w:rPr>
                <w:rFonts w:ascii="Arial" w:hAnsi="Arial" w:cs="Arial"/>
                <w:b/>
                <w:sz w:val="18"/>
                <w:szCs w:val="18"/>
              </w:rPr>
            </w:pPr>
            <w:r w:rsidRPr="00A42474">
              <w:rPr>
                <w:rFonts w:ascii="Arial" w:hAnsi="Arial" w:cs="Arial"/>
                <w:b/>
                <w:sz w:val="18"/>
                <w:szCs w:val="18"/>
              </w:rPr>
              <w:t>2.757.631,49</w:t>
            </w:r>
          </w:p>
        </w:tc>
      </w:tr>
      <w:tr w:rsidR="00A42474" w:rsidRPr="00A42474" w14:paraId="1E3921BD" w14:textId="77777777" w:rsidTr="00625784">
        <w:trPr>
          <w:trHeight w:val="340"/>
          <w:jc w:val="center"/>
        </w:trPr>
        <w:tc>
          <w:tcPr>
            <w:tcW w:w="1276" w:type="dxa"/>
            <w:vAlign w:val="center"/>
          </w:tcPr>
          <w:p w14:paraId="0ADA11FE" w14:textId="77777777" w:rsidR="00185271" w:rsidRPr="00A42474" w:rsidRDefault="00185271" w:rsidP="00185271">
            <w:pPr>
              <w:spacing w:before="100" w:beforeAutospacing="1" w:after="100" w:afterAutospacing="1"/>
              <w:contextualSpacing/>
              <w:jc w:val="right"/>
              <w:rPr>
                <w:rFonts w:ascii="Arial" w:hAnsi="Arial" w:cs="Arial"/>
                <w:sz w:val="18"/>
                <w:szCs w:val="18"/>
              </w:rPr>
            </w:pPr>
            <w:r w:rsidRPr="00A42474">
              <w:rPr>
                <w:rFonts w:ascii="Arial" w:hAnsi="Arial" w:cs="Arial"/>
                <w:sz w:val="18"/>
                <w:szCs w:val="18"/>
              </w:rPr>
              <w:t>SAGGAS</w:t>
            </w:r>
          </w:p>
        </w:tc>
        <w:tc>
          <w:tcPr>
            <w:tcW w:w="993" w:type="dxa"/>
            <w:vAlign w:val="center"/>
          </w:tcPr>
          <w:p w14:paraId="6AF0E642" w14:textId="77777777" w:rsidR="00185271" w:rsidRPr="00A42474" w:rsidRDefault="00185271" w:rsidP="00185271">
            <w:pPr>
              <w:spacing w:before="100" w:beforeAutospacing="1" w:after="100" w:afterAutospacing="1"/>
              <w:ind w:left="-108"/>
              <w:contextualSpacing/>
              <w:jc w:val="right"/>
              <w:rPr>
                <w:rFonts w:ascii="Arial" w:hAnsi="Arial" w:cs="Arial"/>
                <w:sz w:val="18"/>
                <w:szCs w:val="18"/>
              </w:rPr>
            </w:pPr>
            <w:r w:rsidRPr="00A42474">
              <w:rPr>
                <w:rFonts w:ascii="Arial" w:hAnsi="Arial" w:cs="Arial"/>
                <w:sz w:val="18"/>
                <w:szCs w:val="18"/>
              </w:rPr>
              <w:t>Sagunto</w:t>
            </w:r>
          </w:p>
        </w:tc>
        <w:tc>
          <w:tcPr>
            <w:tcW w:w="1275" w:type="dxa"/>
            <w:vAlign w:val="center"/>
          </w:tcPr>
          <w:p w14:paraId="36BE5987" w14:textId="6C668844" w:rsidR="00185271" w:rsidRPr="00A42474" w:rsidRDefault="00A42474" w:rsidP="007F2556">
            <w:pPr>
              <w:jc w:val="right"/>
              <w:rPr>
                <w:rFonts w:ascii="Arial" w:hAnsi="Arial" w:cs="Arial"/>
                <w:sz w:val="18"/>
                <w:szCs w:val="18"/>
              </w:rPr>
            </w:pPr>
            <w:r w:rsidRPr="00A42474">
              <w:rPr>
                <w:rFonts w:ascii="Arial" w:hAnsi="Arial" w:cs="Arial"/>
                <w:sz w:val="18"/>
                <w:szCs w:val="18"/>
              </w:rPr>
              <w:t>-92.040,48</w:t>
            </w:r>
          </w:p>
        </w:tc>
        <w:tc>
          <w:tcPr>
            <w:tcW w:w="1418" w:type="dxa"/>
            <w:vAlign w:val="center"/>
          </w:tcPr>
          <w:p w14:paraId="3F7D6B15" w14:textId="0D09C366" w:rsidR="00185271" w:rsidRPr="00A42474" w:rsidRDefault="00A42474" w:rsidP="007F2556">
            <w:pPr>
              <w:jc w:val="right"/>
              <w:rPr>
                <w:rFonts w:ascii="Arial" w:hAnsi="Arial" w:cs="Arial"/>
                <w:sz w:val="18"/>
                <w:szCs w:val="18"/>
              </w:rPr>
            </w:pPr>
            <w:r w:rsidRPr="00A42474">
              <w:rPr>
                <w:rFonts w:ascii="Arial" w:hAnsi="Arial" w:cs="Arial"/>
                <w:sz w:val="18"/>
                <w:szCs w:val="18"/>
              </w:rPr>
              <w:t>-46.020,24</w:t>
            </w:r>
          </w:p>
        </w:tc>
        <w:tc>
          <w:tcPr>
            <w:tcW w:w="1134" w:type="dxa"/>
            <w:vMerge/>
            <w:vAlign w:val="center"/>
          </w:tcPr>
          <w:p w14:paraId="4981D2B4" w14:textId="77777777" w:rsidR="00185271" w:rsidRPr="00A42474" w:rsidRDefault="00185271" w:rsidP="00185271">
            <w:pPr>
              <w:spacing w:before="100" w:beforeAutospacing="1" w:after="100" w:afterAutospacing="1"/>
              <w:contextualSpacing/>
              <w:jc w:val="center"/>
              <w:rPr>
                <w:rFonts w:ascii="Arial" w:hAnsi="Arial" w:cs="Arial"/>
                <w:sz w:val="18"/>
                <w:szCs w:val="18"/>
              </w:rPr>
            </w:pPr>
          </w:p>
        </w:tc>
        <w:tc>
          <w:tcPr>
            <w:tcW w:w="1276" w:type="dxa"/>
            <w:vAlign w:val="center"/>
          </w:tcPr>
          <w:p w14:paraId="147D2793" w14:textId="6D54A33A" w:rsidR="00185271" w:rsidRPr="00A42474" w:rsidRDefault="00A42474" w:rsidP="005B5B59">
            <w:pPr>
              <w:spacing w:before="100" w:beforeAutospacing="1" w:after="100" w:afterAutospacing="1"/>
              <w:contextualSpacing/>
              <w:jc w:val="right"/>
              <w:rPr>
                <w:rFonts w:ascii="Arial" w:hAnsi="Arial" w:cs="Arial"/>
                <w:sz w:val="18"/>
                <w:szCs w:val="18"/>
              </w:rPr>
            </w:pPr>
            <w:r w:rsidRPr="00A42474">
              <w:rPr>
                <w:rFonts w:ascii="Arial" w:hAnsi="Arial" w:cs="Arial"/>
                <w:sz w:val="18"/>
                <w:szCs w:val="18"/>
              </w:rPr>
              <w:t>714.234,10</w:t>
            </w:r>
          </w:p>
        </w:tc>
        <w:tc>
          <w:tcPr>
            <w:tcW w:w="1417" w:type="dxa"/>
          </w:tcPr>
          <w:p w14:paraId="2063E043" w14:textId="77777777" w:rsidR="00185271" w:rsidRPr="00A42474" w:rsidRDefault="00185271" w:rsidP="00185271">
            <w:pPr>
              <w:spacing w:before="100" w:beforeAutospacing="1" w:after="100" w:afterAutospacing="1"/>
              <w:contextualSpacing/>
              <w:jc w:val="center"/>
              <w:rPr>
                <w:rFonts w:ascii="Arial" w:hAnsi="Arial" w:cs="Arial"/>
                <w:sz w:val="18"/>
                <w:szCs w:val="18"/>
              </w:rPr>
            </w:pPr>
            <w:r w:rsidRPr="00A42474">
              <w:rPr>
                <w:rFonts w:ascii="Arial" w:hAnsi="Arial" w:cs="Arial"/>
                <w:sz w:val="18"/>
                <w:szCs w:val="18"/>
              </w:rPr>
              <w:t>---</w:t>
            </w:r>
          </w:p>
        </w:tc>
        <w:tc>
          <w:tcPr>
            <w:tcW w:w="1417" w:type="dxa"/>
            <w:vAlign w:val="center"/>
          </w:tcPr>
          <w:p w14:paraId="329F241C" w14:textId="1ACD7DDA" w:rsidR="00185271" w:rsidRPr="00A42474" w:rsidRDefault="00A42474" w:rsidP="005B5B59">
            <w:pPr>
              <w:spacing w:before="100" w:beforeAutospacing="1" w:after="100" w:afterAutospacing="1"/>
              <w:contextualSpacing/>
              <w:jc w:val="right"/>
              <w:rPr>
                <w:rFonts w:ascii="Arial" w:hAnsi="Arial" w:cs="Arial"/>
                <w:b/>
                <w:sz w:val="18"/>
                <w:szCs w:val="18"/>
              </w:rPr>
            </w:pPr>
            <w:r w:rsidRPr="00A42474">
              <w:rPr>
                <w:rFonts w:ascii="Arial" w:hAnsi="Arial" w:cs="Arial"/>
                <w:b/>
                <w:sz w:val="18"/>
                <w:szCs w:val="18"/>
              </w:rPr>
              <w:t>714.234,10</w:t>
            </w:r>
          </w:p>
        </w:tc>
      </w:tr>
      <w:tr w:rsidR="00A42474" w:rsidRPr="00A42474" w14:paraId="21251D14" w14:textId="77777777" w:rsidTr="00625784">
        <w:trPr>
          <w:trHeight w:val="340"/>
          <w:jc w:val="center"/>
        </w:trPr>
        <w:tc>
          <w:tcPr>
            <w:tcW w:w="1276" w:type="dxa"/>
            <w:vAlign w:val="center"/>
          </w:tcPr>
          <w:p w14:paraId="10D001CA" w14:textId="77777777" w:rsidR="00185271" w:rsidRPr="00A42474" w:rsidRDefault="00185271" w:rsidP="00185271">
            <w:pPr>
              <w:spacing w:before="100" w:beforeAutospacing="1" w:after="100" w:afterAutospacing="1"/>
              <w:contextualSpacing/>
              <w:jc w:val="right"/>
              <w:rPr>
                <w:rFonts w:ascii="Arial" w:hAnsi="Arial" w:cs="Arial"/>
                <w:sz w:val="18"/>
                <w:szCs w:val="18"/>
              </w:rPr>
            </w:pPr>
            <w:r w:rsidRPr="00A42474">
              <w:rPr>
                <w:rFonts w:ascii="Arial" w:hAnsi="Arial" w:cs="Arial"/>
                <w:sz w:val="18"/>
                <w:szCs w:val="18"/>
              </w:rPr>
              <w:t>REGANOSA</w:t>
            </w:r>
          </w:p>
        </w:tc>
        <w:tc>
          <w:tcPr>
            <w:tcW w:w="993" w:type="dxa"/>
            <w:vAlign w:val="center"/>
          </w:tcPr>
          <w:p w14:paraId="16E169B8" w14:textId="77777777" w:rsidR="00185271" w:rsidRPr="00A42474" w:rsidRDefault="00185271" w:rsidP="00185271">
            <w:pPr>
              <w:spacing w:before="100" w:beforeAutospacing="1" w:after="100" w:afterAutospacing="1"/>
              <w:ind w:left="-108"/>
              <w:contextualSpacing/>
              <w:jc w:val="right"/>
              <w:rPr>
                <w:rFonts w:ascii="Arial" w:hAnsi="Arial" w:cs="Arial"/>
                <w:sz w:val="18"/>
                <w:szCs w:val="18"/>
              </w:rPr>
            </w:pPr>
            <w:r w:rsidRPr="00A42474">
              <w:rPr>
                <w:rFonts w:ascii="Arial" w:hAnsi="Arial" w:cs="Arial"/>
                <w:sz w:val="18"/>
                <w:szCs w:val="18"/>
              </w:rPr>
              <w:t>Mugardos</w:t>
            </w:r>
          </w:p>
        </w:tc>
        <w:tc>
          <w:tcPr>
            <w:tcW w:w="1275" w:type="dxa"/>
            <w:vAlign w:val="center"/>
          </w:tcPr>
          <w:p w14:paraId="60A16852" w14:textId="2E40B7E0" w:rsidR="00185271" w:rsidRPr="00A42474" w:rsidRDefault="00A42474" w:rsidP="00185271">
            <w:pPr>
              <w:jc w:val="right"/>
              <w:rPr>
                <w:rFonts w:ascii="Arial" w:hAnsi="Arial" w:cs="Arial"/>
                <w:sz w:val="18"/>
                <w:szCs w:val="18"/>
              </w:rPr>
            </w:pPr>
            <w:r w:rsidRPr="00A42474">
              <w:rPr>
                <w:rFonts w:ascii="Arial" w:hAnsi="Arial" w:cs="Arial"/>
                <w:sz w:val="18"/>
                <w:szCs w:val="18"/>
              </w:rPr>
              <w:t>-36.834,45</w:t>
            </w:r>
          </w:p>
        </w:tc>
        <w:tc>
          <w:tcPr>
            <w:tcW w:w="1418" w:type="dxa"/>
            <w:vAlign w:val="center"/>
          </w:tcPr>
          <w:p w14:paraId="2B2BFFA3" w14:textId="0DB079AD" w:rsidR="00185271" w:rsidRPr="00A42474" w:rsidRDefault="00A42474" w:rsidP="00185271">
            <w:pPr>
              <w:jc w:val="right"/>
              <w:rPr>
                <w:rFonts w:ascii="Arial" w:hAnsi="Arial" w:cs="Arial"/>
                <w:sz w:val="18"/>
                <w:szCs w:val="18"/>
              </w:rPr>
            </w:pPr>
            <w:r w:rsidRPr="00A42474">
              <w:rPr>
                <w:rFonts w:ascii="Arial" w:hAnsi="Arial" w:cs="Arial"/>
                <w:sz w:val="18"/>
                <w:szCs w:val="18"/>
              </w:rPr>
              <w:t>-18.417,22</w:t>
            </w:r>
          </w:p>
        </w:tc>
        <w:tc>
          <w:tcPr>
            <w:tcW w:w="1134" w:type="dxa"/>
            <w:vMerge/>
            <w:vAlign w:val="center"/>
          </w:tcPr>
          <w:p w14:paraId="51FACEA1" w14:textId="77777777" w:rsidR="00185271" w:rsidRPr="00A42474" w:rsidRDefault="00185271" w:rsidP="00185271">
            <w:pPr>
              <w:spacing w:before="100" w:beforeAutospacing="1" w:after="100" w:afterAutospacing="1"/>
              <w:contextualSpacing/>
              <w:jc w:val="center"/>
              <w:rPr>
                <w:rFonts w:ascii="Arial" w:hAnsi="Arial" w:cs="Arial"/>
                <w:sz w:val="18"/>
                <w:szCs w:val="18"/>
              </w:rPr>
            </w:pPr>
          </w:p>
        </w:tc>
        <w:tc>
          <w:tcPr>
            <w:tcW w:w="1276" w:type="dxa"/>
            <w:vAlign w:val="center"/>
          </w:tcPr>
          <w:p w14:paraId="1DD5DC18" w14:textId="1982A235" w:rsidR="00185271" w:rsidRPr="00A42474" w:rsidRDefault="00A42474" w:rsidP="00185271">
            <w:pPr>
              <w:spacing w:before="100" w:beforeAutospacing="1" w:after="100" w:afterAutospacing="1"/>
              <w:contextualSpacing/>
              <w:jc w:val="right"/>
              <w:rPr>
                <w:rFonts w:ascii="Arial" w:hAnsi="Arial" w:cs="Arial"/>
                <w:sz w:val="18"/>
                <w:szCs w:val="18"/>
              </w:rPr>
            </w:pPr>
            <w:r w:rsidRPr="00A42474">
              <w:rPr>
                <w:rFonts w:ascii="Arial" w:hAnsi="Arial" w:cs="Arial"/>
                <w:sz w:val="18"/>
                <w:szCs w:val="18"/>
              </w:rPr>
              <w:t>285.835,30</w:t>
            </w:r>
          </w:p>
        </w:tc>
        <w:tc>
          <w:tcPr>
            <w:tcW w:w="1417" w:type="dxa"/>
          </w:tcPr>
          <w:p w14:paraId="306943E2" w14:textId="77777777" w:rsidR="00185271" w:rsidRPr="00A42474" w:rsidRDefault="00185271" w:rsidP="00185271">
            <w:pPr>
              <w:spacing w:before="100" w:beforeAutospacing="1" w:after="100" w:afterAutospacing="1"/>
              <w:contextualSpacing/>
              <w:jc w:val="center"/>
              <w:rPr>
                <w:rFonts w:ascii="Arial" w:hAnsi="Arial" w:cs="Arial"/>
                <w:sz w:val="18"/>
                <w:szCs w:val="18"/>
              </w:rPr>
            </w:pPr>
            <w:r w:rsidRPr="00A42474">
              <w:rPr>
                <w:rFonts w:ascii="Arial" w:hAnsi="Arial" w:cs="Arial"/>
                <w:sz w:val="18"/>
                <w:szCs w:val="18"/>
              </w:rPr>
              <w:t>---</w:t>
            </w:r>
          </w:p>
        </w:tc>
        <w:tc>
          <w:tcPr>
            <w:tcW w:w="1417" w:type="dxa"/>
            <w:vAlign w:val="center"/>
          </w:tcPr>
          <w:p w14:paraId="515E13A9" w14:textId="1663C7C0" w:rsidR="00185271" w:rsidRPr="00A42474" w:rsidRDefault="00A42474" w:rsidP="00185271">
            <w:pPr>
              <w:spacing w:before="100" w:beforeAutospacing="1" w:after="100" w:afterAutospacing="1"/>
              <w:contextualSpacing/>
              <w:jc w:val="right"/>
              <w:rPr>
                <w:rFonts w:ascii="Arial" w:hAnsi="Arial" w:cs="Arial"/>
                <w:b/>
                <w:sz w:val="18"/>
                <w:szCs w:val="18"/>
              </w:rPr>
            </w:pPr>
            <w:r w:rsidRPr="00A42474">
              <w:rPr>
                <w:rFonts w:ascii="Arial" w:hAnsi="Arial" w:cs="Arial"/>
                <w:b/>
                <w:sz w:val="18"/>
                <w:szCs w:val="18"/>
              </w:rPr>
              <w:t>285.835,30</w:t>
            </w:r>
          </w:p>
        </w:tc>
      </w:tr>
      <w:tr w:rsidR="005568A6" w:rsidRPr="00A42474" w14:paraId="08AFC466" w14:textId="77777777" w:rsidTr="00625784">
        <w:trPr>
          <w:trHeight w:val="340"/>
          <w:jc w:val="center"/>
        </w:trPr>
        <w:tc>
          <w:tcPr>
            <w:tcW w:w="2269" w:type="dxa"/>
            <w:gridSpan w:val="2"/>
            <w:vAlign w:val="center"/>
          </w:tcPr>
          <w:p w14:paraId="27D94436" w14:textId="77777777" w:rsidR="00185271" w:rsidRPr="00A42474" w:rsidRDefault="00185271" w:rsidP="00185271">
            <w:pPr>
              <w:spacing w:before="100" w:beforeAutospacing="1" w:after="100" w:afterAutospacing="1"/>
              <w:contextualSpacing/>
              <w:jc w:val="right"/>
              <w:rPr>
                <w:rFonts w:ascii="Arial" w:hAnsi="Arial" w:cs="Arial"/>
                <w:b/>
                <w:bCs/>
                <w:sz w:val="18"/>
                <w:szCs w:val="18"/>
              </w:rPr>
            </w:pPr>
            <w:r w:rsidRPr="00A42474">
              <w:rPr>
                <w:rFonts w:ascii="Arial" w:hAnsi="Arial" w:cs="Arial"/>
                <w:b/>
                <w:bCs/>
                <w:sz w:val="18"/>
                <w:szCs w:val="18"/>
              </w:rPr>
              <w:t>TOTAL</w:t>
            </w:r>
          </w:p>
        </w:tc>
        <w:tc>
          <w:tcPr>
            <w:tcW w:w="1275" w:type="dxa"/>
            <w:vAlign w:val="center"/>
          </w:tcPr>
          <w:p w14:paraId="551A8B15" w14:textId="14669364" w:rsidR="00185271" w:rsidRPr="00A42474" w:rsidRDefault="00A42474" w:rsidP="005B5B59">
            <w:pPr>
              <w:spacing w:before="100" w:beforeAutospacing="1" w:after="100" w:afterAutospacing="1"/>
              <w:contextualSpacing/>
              <w:jc w:val="right"/>
              <w:rPr>
                <w:rFonts w:ascii="Arial" w:hAnsi="Arial" w:cs="Arial"/>
                <w:b/>
                <w:bCs/>
                <w:sz w:val="18"/>
                <w:szCs w:val="18"/>
              </w:rPr>
            </w:pPr>
            <w:r w:rsidRPr="00A42474">
              <w:rPr>
                <w:rFonts w:ascii="Arial" w:hAnsi="Arial" w:cs="Arial"/>
                <w:b/>
                <w:bCs/>
                <w:sz w:val="18"/>
                <w:szCs w:val="18"/>
              </w:rPr>
              <w:t>-618.121,60</w:t>
            </w:r>
          </w:p>
        </w:tc>
        <w:tc>
          <w:tcPr>
            <w:tcW w:w="1418" w:type="dxa"/>
            <w:vAlign w:val="center"/>
          </w:tcPr>
          <w:p w14:paraId="765678B2" w14:textId="0F044BBC" w:rsidR="00185271" w:rsidRPr="00A42474" w:rsidRDefault="00A42474" w:rsidP="007F2556">
            <w:pPr>
              <w:jc w:val="right"/>
              <w:rPr>
                <w:rFonts w:ascii="Arial" w:hAnsi="Arial" w:cs="Arial"/>
                <w:b/>
                <w:bCs/>
                <w:sz w:val="18"/>
                <w:szCs w:val="18"/>
              </w:rPr>
            </w:pPr>
            <w:r w:rsidRPr="00A42474">
              <w:rPr>
                <w:rFonts w:ascii="Arial" w:hAnsi="Arial" w:cs="Arial"/>
                <w:b/>
                <w:bCs/>
                <w:sz w:val="18"/>
                <w:szCs w:val="18"/>
              </w:rPr>
              <w:t>-309.060</w:t>
            </w:r>
            <w:r w:rsidR="000A6A71">
              <w:rPr>
                <w:rFonts w:ascii="Arial" w:hAnsi="Arial" w:cs="Arial"/>
                <w:b/>
                <w:bCs/>
                <w:sz w:val="18"/>
                <w:szCs w:val="18"/>
              </w:rPr>
              <w:t>,</w:t>
            </w:r>
            <w:r w:rsidRPr="00A42474">
              <w:rPr>
                <w:rFonts w:ascii="Arial" w:hAnsi="Arial" w:cs="Arial"/>
                <w:b/>
                <w:bCs/>
                <w:sz w:val="18"/>
                <w:szCs w:val="18"/>
              </w:rPr>
              <w:t>79</w:t>
            </w:r>
          </w:p>
        </w:tc>
        <w:tc>
          <w:tcPr>
            <w:tcW w:w="1134" w:type="dxa"/>
            <w:vMerge/>
            <w:vAlign w:val="center"/>
          </w:tcPr>
          <w:p w14:paraId="6E613D39" w14:textId="77777777" w:rsidR="00185271" w:rsidRPr="00A42474" w:rsidRDefault="00185271" w:rsidP="00185271">
            <w:pPr>
              <w:spacing w:before="100" w:beforeAutospacing="1" w:after="100" w:afterAutospacing="1"/>
              <w:contextualSpacing/>
              <w:jc w:val="right"/>
              <w:rPr>
                <w:rFonts w:ascii="Arial" w:hAnsi="Arial" w:cs="Arial"/>
                <w:b/>
                <w:bCs/>
                <w:sz w:val="18"/>
                <w:szCs w:val="18"/>
              </w:rPr>
            </w:pPr>
          </w:p>
        </w:tc>
        <w:tc>
          <w:tcPr>
            <w:tcW w:w="1276" w:type="dxa"/>
            <w:vAlign w:val="center"/>
          </w:tcPr>
          <w:p w14:paraId="23769797" w14:textId="10BA888E" w:rsidR="00185271" w:rsidRPr="00A42474" w:rsidRDefault="00A42474" w:rsidP="005B5B59">
            <w:pPr>
              <w:spacing w:before="100" w:beforeAutospacing="1" w:after="100" w:afterAutospacing="1"/>
              <w:contextualSpacing/>
              <w:jc w:val="right"/>
              <w:rPr>
                <w:rFonts w:ascii="Arial" w:hAnsi="Arial" w:cs="Arial"/>
                <w:b/>
                <w:bCs/>
                <w:sz w:val="18"/>
                <w:szCs w:val="18"/>
              </w:rPr>
            </w:pPr>
            <w:r w:rsidRPr="00A42474">
              <w:rPr>
                <w:rFonts w:ascii="Arial" w:hAnsi="Arial" w:cs="Arial"/>
                <w:b/>
                <w:bCs/>
                <w:sz w:val="18"/>
                <w:szCs w:val="18"/>
              </w:rPr>
              <w:t>4.796.623,48</w:t>
            </w:r>
          </w:p>
        </w:tc>
        <w:tc>
          <w:tcPr>
            <w:tcW w:w="1417" w:type="dxa"/>
            <w:vAlign w:val="center"/>
          </w:tcPr>
          <w:p w14:paraId="17A23447" w14:textId="77777777" w:rsidR="00185271" w:rsidRPr="00A42474" w:rsidRDefault="00185271" w:rsidP="00185271">
            <w:pPr>
              <w:spacing w:before="100" w:beforeAutospacing="1" w:after="100" w:afterAutospacing="1"/>
              <w:contextualSpacing/>
              <w:jc w:val="center"/>
              <w:rPr>
                <w:rFonts w:ascii="Arial" w:hAnsi="Arial" w:cs="Arial"/>
                <w:b/>
                <w:bCs/>
                <w:sz w:val="18"/>
                <w:szCs w:val="18"/>
              </w:rPr>
            </w:pPr>
            <w:r w:rsidRPr="00A42474">
              <w:rPr>
                <w:rFonts w:ascii="Arial" w:hAnsi="Arial" w:cs="Arial"/>
                <w:b/>
                <w:bCs/>
                <w:sz w:val="18"/>
                <w:szCs w:val="18"/>
              </w:rPr>
              <w:t>---</w:t>
            </w:r>
          </w:p>
        </w:tc>
        <w:tc>
          <w:tcPr>
            <w:tcW w:w="1417" w:type="dxa"/>
            <w:vAlign w:val="center"/>
          </w:tcPr>
          <w:p w14:paraId="44BC5904" w14:textId="37C04F28" w:rsidR="00185271" w:rsidRPr="00A42474" w:rsidRDefault="00A42474" w:rsidP="005B5B59">
            <w:pPr>
              <w:spacing w:before="100" w:beforeAutospacing="1" w:after="100" w:afterAutospacing="1"/>
              <w:contextualSpacing/>
              <w:jc w:val="right"/>
              <w:rPr>
                <w:rFonts w:ascii="Arial" w:hAnsi="Arial" w:cs="Arial"/>
                <w:b/>
                <w:bCs/>
                <w:sz w:val="18"/>
                <w:szCs w:val="18"/>
              </w:rPr>
            </w:pPr>
            <w:r w:rsidRPr="00A42474">
              <w:rPr>
                <w:rFonts w:ascii="Arial" w:hAnsi="Arial" w:cs="Arial"/>
                <w:b/>
                <w:bCs/>
                <w:sz w:val="18"/>
                <w:szCs w:val="18"/>
              </w:rPr>
              <w:t>4.796.623,48</w:t>
            </w:r>
          </w:p>
        </w:tc>
      </w:tr>
    </w:tbl>
    <w:bookmarkEnd w:id="9"/>
    <w:p w14:paraId="6F5FAC72" w14:textId="24CC02F9" w:rsidR="0088224E" w:rsidRPr="00A42474" w:rsidRDefault="0088224E" w:rsidP="0088224E">
      <w:pPr>
        <w:jc w:val="center"/>
        <w:rPr>
          <w:rFonts w:ascii="Arial" w:hAnsi="Arial" w:cs="Arial"/>
          <w:sz w:val="20"/>
          <w:szCs w:val="20"/>
        </w:rPr>
      </w:pPr>
      <w:r w:rsidRPr="00A42474">
        <w:rPr>
          <w:rFonts w:ascii="Arial" w:hAnsi="Arial" w:cs="Arial"/>
          <w:sz w:val="20"/>
          <w:szCs w:val="20"/>
        </w:rPr>
        <w:t xml:space="preserve">Figura </w:t>
      </w:r>
      <w:r w:rsidR="009E0541">
        <w:rPr>
          <w:rFonts w:ascii="Arial" w:hAnsi="Arial" w:cs="Arial"/>
          <w:sz w:val="20"/>
          <w:szCs w:val="20"/>
        </w:rPr>
        <w:t>9</w:t>
      </w:r>
      <w:r w:rsidRPr="00A42474">
        <w:rPr>
          <w:rFonts w:ascii="Arial" w:hAnsi="Arial" w:cs="Arial"/>
          <w:sz w:val="20"/>
          <w:szCs w:val="20"/>
        </w:rPr>
        <w:t xml:space="preserve">: Valoración del saldo de mermas en regasificación en </w:t>
      </w:r>
      <w:r w:rsidR="000D4E50" w:rsidRPr="00A42474">
        <w:rPr>
          <w:rFonts w:ascii="Arial" w:hAnsi="Arial" w:cs="Arial"/>
          <w:sz w:val="20"/>
          <w:szCs w:val="20"/>
        </w:rPr>
        <w:t>201</w:t>
      </w:r>
      <w:r w:rsidR="00A42474" w:rsidRPr="00A42474">
        <w:rPr>
          <w:rFonts w:ascii="Arial" w:hAnsi="Arial" w:cs="Arial"/>
          <w:sz w:val="20"/>
          <w:szCs w:val="20"/>
        </w:rPr>
        <w:t>9</w:t>
      </w:r>
      <w:r w:rsidRPr="00A42474">
        <w:rPr>
          <w:rFonts w:ascii="Arial" w:hAnsi="Arial" w:cs="Arial"/>
          <w:sz w:val="20"/>
          <w:szCs w:val="20"/>
        </w:rPr>
        <w:t xml:space="preserve"> en euros.</w:t>
      </w:r>
    </w:p>
    <w:p w14:paraId="44677285" w14:textId="77777777" w:rsidR="0088224E" w:rsidRPr="00A42474" w:rsidRDefault="0088224E" w:rsidP="00A65300">
      <w:pPr>
        <w:rPr>
          <w:rFonts w:ascii="Arial" w:hAnsi="Arial" w:cs="Arial"/>
        </w:rPr>
      </w:pPr>
    </w:p>
    <w:p w14:paraId="4FA141BD" w14:textId="23831BF4" w:rsidR="0088224E" w:rsidRPr="00A42474" w:rsidRDefault="0088224E" w:rsidP="00A42474">
      <w:pPr>
        <w:jc w:val="both"/>
        <w:rPr>
          <w:rFonts w:ascii="Arial" w:hAnsi="Arial" w:cs="Arial"/>
        </w:rPr>
      </w:pPr>
      <w:r w:rsidRPr="00A42474">
        <w:rPr>
          <w:rFonts w:ascii="Arial" w:hAnsi="Arial" w:cs="Arial"/>
        </w:rPr>
        <w:t>Como resultado de la valoración del saldo de mermas en regasificación en 201</w:t>
      </w:r>
      <w:r w:rsidR="00A42474" w:rsidRPr="00A42474">
        <w:rPr>
          <w:rFonts w:ascii="Arial" w:hAnsi="Arial" w:cs="Arial"/>
        </w:rPr>
        <w:t>9</w:t>
      </w:r>
      <w:r w:rsidRPr="00A42474">
        <w:rPr>
          <w:rFonts w:ascii="Arial" w:hAnsi="Arial" w:cs="Arial"/>
        </w:rPr>
        <w:t>, la retribución neta de los titulares de terminale</w:t>
      </w:r>
      <w:r w:rsidR="00976B90" w:rsidRPr="00A42474">
        <w:rPr>
          <w:rFonts w:ascii="Arial" w:hAnsi="Arial" w:cs="Arial"/>
        </w:rPr>
        <w:t xml:space="preserve">s de GNL debe incrementarse en </w:t>
      </w:r>
      <w:r w:rsidR="00A42474" w:rsidRPr="00A42474">
        <w:rPr>
          <w:rFonts w:ascii="Arial" w:hAnsi="Arial" w:cs="Arial"/>
        </w:rPr>
        <w:t>4</w:t>
      </w:r>
      <w:r w:rsidR="00831551" w:rsidRPr="00A42474">
        <w:rPr>
          <w:rFonts w:ascii="Arial" w:hAnsi="Arial" w:cs="Arial"/>
        </w:rPr>
        <w:t>.</w:t>
      </w:r>
      <w:r w:rsidR="00A42474" w:rsidRPr="00A42474">
        <w:rPr>
          <w:rFonts w:ascii="Arial" w:hAnsi="Arial" w:cs="Arial"/>
        </w:rPr>
        <w:t>796.623</w:t>
      </w:r>
      <w:r w:rsidR="00831551" w:rsidRPr="00A42474">
        <w:rPr>
          <w:rFonts w:ascii="Arial" w:hAnsi="Arial" w:cs="Arial"/>
        </w:rPr>
        <w:t>,</w:t>
      </w:r>
      <w:r w:rsidR="00A42474" w:rsidRPr="00A42474">
        <w:rPr>
          <w:rFonts w:ascii="Arial" w:hAnsi="Arial" w:cs="Arial"/>
        </w:rPr>
        <w:t>4</w:t>
      </w:r>
      <w:r w:rsidR="005B5B59" w:rsidRPr="00A42474">
        <w:rPr>
          <w:rFonts w:ascii="Arial" w:hAnsi="Arial" w:cs="Arial"/>
        </w:rPr>
        <w:t>8</w:t>
      </w:r>
      <w:r w:rsidRPr="00A42474">
        <w:rPr>
          <w:rFonts w:ascii="Arial" w:hAnsi="Arial" w:cs="Arial"/>
        </w:rPr>
        <w:t xml:space="preserve"> euros. Las cantidades resultantes serán adicionadas a las retribuciones reconocidas a los titulares de la planta en el año en curso, aplicándose en la primera liquidación disponible como un pago único.</w:t>
      </w:r>
    </w:p>
    <w:p w14:paraId="7863DF4D" w14:textId="77777777" w:rsidR="0088224E" w:rsidRPr="00332D6C" w:rsidRDefault="0088224E" w:rsidP="0088224E">
      <w:pPr>
        <w:rPr>
          <w:rFonts w:ascii="Arial" w:hAnsi="Arial" w:cs="Arial"/>
        </w:rPr>
      </w:pPr>
    </w:p>
    <w:p w14:paraId="2A7A7F8A" w14:textId="2A92616F" w:rsidR="00F97FEC" w:rsidRPr="00332D6C" w:rsidRDefault="0088224E" w:rsidP="0088224E">
      <w:pPr>
        <w:jc w:val="both"/>
        <w:rPr>
          <w:rFonts w:ascii="Arial" w:hAnsi="Arial" w:cs="Arial"/>
        </w:rPr>
      </w:pPr>
      <w:r w:rsidRPr="00332D6C">
        <w:rPr>
          <w:rFonts w:ascii="Arial" w:hAnsi="Arial" w:cs="Arial"/>
        </w:rPr>
        <w:t>La cifra en euros resultante de la valora</w:t>
      </w:r>
      <w:r w:rsidR="00976B90" w:rsidRPr="00332D6C">
        <w:rPr>
          <w:rFonts w:ascii="Arial" w:hAnsi="Arial" w:cs="Arial"/>
        </w:rPr>
        <w:t>ción del saldo de mermas en 201</w:t>
      </w:r>
      <w:r w:rsidR="002528B7" w:rsidRPr="00332D6C">
        <w:rPr>
          <w:rFonts w:ascii="Arial" w:hAnsi="Arial" w:cs="Arial"/>
        </w:rPr>
        <w:t>9</w:t>
      </w:r>
      <w:r w:rsidRPr="00332D6C">
        <w:rPr>
          <w:rFonts w:ascii="Arial" w:hAnsi="Arial" w:cs="Arial"/>
        </w:rPr>
        <w:t xml:space="preserve"> es </w:t>
      </w:r>
      <w:r w:rsidR="00B82ED6" w:rsidRPr="00332D6C">
        <w:rPr>
          <w:rFonts w:ascii="Arial" w:hAnsi="Arial" w:cs="Arial"/>
        </w:rPr>
        <w:t xml:space="preserve">un </w:t>
      </w:r>
      <w:r w:rsidR="002528B7" w:rsidRPr="00332D6C">
        <w:rPr>
          <w:rFonts w:ascii="Arial" w:hAnsi="Arial" w:cs="Arial"/>
        </w:rPr>
        <w:t>3</w:t>
      </w:r>
      <w:r w:rsidR="005568A6" w:rsidRPr="00332D6C">
        <w:rPr>
          <w:rFonts w:ascii="Arial" w:hAnsi="Arial" w:cs="Arial"/>
        </w:rPr>
        <w:t>2%</w:t>
      </w:r>
      <w:r w:rsidR="00B82ED6" w:rsidRPr="00332D6C">
        <w:rPr>
          <w:rFonts w:ascii="Arial" w:hAnsi="Arial" w:cs="Arial"/>
        </w:rPr>
        <w:t xml:space="preserve"> </w:t>
      </w:r>
      <w:r w:rsidR="002528B7" w:rsidRPr="00332D6C">
        <w:rPr>
          <w:rFonts w:ascii="Arial" w:hAnsi="Arial" w:cs="Arial"/>
        </w:rPr>
        <w:t>sup</w:t>
      </w:r>
      <w:r w:rsidR="005568A6" w:rsidRPr="00332D6C">
        <w:rPr>
          <w:rFonts w:ascii="Arial" w:hAnsi="Arial" w:cs="Arial"/>
        </w:rPr>
        <w:t>erior</w:t>
      </w:r>
      <w:r w:rsidR="00B82ED6" w:rsidRPr="00332D6C">
        <w:rPr>
          <w:rFonts w:ascii="Arial" w:hAnsi="Arial" w:cs="Arial"/>
        </w:rPr>
        <w:t xml:space="preserve"> </w:t>
      </w:r>
      <w:r w:rsidR="00976B90" w:rsidRPr="00332D6C">
        <w:rPr>
          <w:rFonts w:ascii="Arial" w:hAnsi="Arial" w:cs="Arial"/>
        </w:rPr>
        <w:t>a la cifra del año 201</w:t>
      </w:r>
      <w:r w:rsidR="002528B7" w:rsidRPr="00332D6C">
        <w:rPr>
          <w:rFonts w:ascii="Arial" w:hAnsi="Arial" w:cs="Arial"/>
        </w:rPr>
        <w:t>8</w:t>
      </w:r>
      <w:r w:rsidR="00B82ED6" w:rsidRPr="00332D6C">
        <w:rPr>
          <w:rFonts w:ascii="Arial" w:hAnsi="Arial" w:cs="Arial"/>
        </w:rPr>
        <w:t>.</w:t>
      </w:r>
      <w:r w:rsidRPr="00332D6C">
        <w:rPr>
          <w:rFonts w:ascii="Arial" w:hAnsi="Arial" w:cs="Arial"/>
        </w:rPr>
        <w:t xml:space="preserve"> Esto se explica porque</w:t>
      </w:r>
      <w:r w:rsidR="000A710A">
        <w:rPr>
          <w:rFonts w:ascii="Arial" w:hAnsi="Arial" w:cs="Arial"/>
        </w:rPr>
        <w:t>,</w:t>
      </w:r>
      <w:r w:rsidRPr="00332D6C">
        <w:rPr>
          <w:rFonts w:ascii="Arial" w:hAnsi="Arial" w:cs="Arial"/>
        </w:rPr>
        <w:t xml:space="preserve"> </w:t>
      </w:r>
      <w:r w:rsidR="000A710A" w:rsidRPr="00332D6C">
        <w:rPr>
          <w:rFonts w:ascii="Arial" w:hAnsi="Arial" w:cs="Arial"/>
        </w:rPr>
        <w:t>aunque el precio medio del gas de operación se ve reducido en un 36%, pasando de un valor de 24,25 €/</w:t>
      </w:r>
      <w:proofErr w:type="spellStart"/>
      <w:r w:rsidR="000A710A" w:rsidRPr="00332D6C">
        <w:rPr>
          <w:rFonts w:ascii="Arial" w:hAnsi="Arial" w:cs="Arial"/>
        </w:rPr>
        <w:t>MWh</w:t>
      </w:r>
      <w:proofErr w:type="spellEnd"/>
      <w:r w:rsidR="000A710A" w:rsidRPr="00332D6C">
        <w:rPr>
          <w:rFonts w:ascii="Arial" w:hAnsi="Arial" w:cs="Arial"/>
        </w:rPr>
        <w:t xml:space="preserve"> en 2018 a 15,52 €/</w:t>
      </w:r>
      <w:proofErr w:type="spellStart"/>
      <w:r w:rsidR="000A710A" w:rsidRPr="00332D6C">
        <w:rPr>
          <w:rFonts w:ascii="Arial" w:hAnsi="Arial" w:cs="Arial"/>
        </w:rPr>
        <w:t>MWh</w:t>
      </w:r>
      <w:proofErr w:type="spellEnd"/>
      <w:r w:rsidR="000A710A" w:rsidRPr="00332D6C">
        <w:rPr>
          <w:rFonts w:ascii="Arial" w:hAnsi="Arial" w:cs="Arial"/>
        </w:rPr>
        <w:t xml:space="preserve"> en 2019</w:t>
      </w:r>
      <w:r w:rsidR="000A710A">
        <w:rPr>
          <w:rFonts w:ascii="Arial" w:hAnsi="Arial" w:cs="Arial"/>
        </w:rPr>
        <w:t xml:space="preserve">, </w:t>
      </w:r>
      <w:r w:rsidRPr="00332D6C">
        <w:rPr>
          <w:rFonts w:ascii="Arial" w:hAnsi="Arial" w:cs="Arial"/>
        </w:rPr>
        <w:t>e</w:t>
      </w:r>
      <w:r w:rsidR="000A710A">
        <w:rPr>
          <w:rFonts w:ascii="Arial" w:hAnsi="Arial" w:cs="Arial"/>
        </w:rPr>
        <w:t>ste año</w:t>
      </w:r>
      <w:r w:rsidRPr="00332D6C">
        <w:rPr>
          <w:rFonts w:ascii="Arial" w:hAnsi="Arial" w:cs="Arial"/>
        </w:rPr>
        <w:t xml:space="preserve"> 201</w:t>
      </w:r>
      <w:r w:rsidR="002528B7" w:rsidRPr="00332D6C">
        <w:rPr>
          <w:rFonts w:ascii="Arial" w:hAnsi="Arial" w:cs="Arial"/>
        </w:rPr>
        <w:t>9</w:t>
      </w:r>
      <w:r w:rsidRPr="00332D6C">
        <w:rPr>
          <w:rFonts w:ascii="Arial" w:hAnsi="Arial" w:cs="Arial"/>
        </w:rPr>
        <w:t xml:space="preserve"> el saldo de mermas </w:t>
      </w:r>
      <w:r w:rsidR="00F97FEC" w:rsidRPr="00332D6C">
        <w:rPr>
          <w:rFonts w:ascii="Arial" w:hAnsi="Arial" w:cs="Arial"/>
        </w:rPr>
        <w:t>en el conjunto de</w:t>
      </w:r>
      <w:r w:rsidRPr="00332D6C">
        <w:rPr>
          <w:rFonts w:ascii="Arial" w:hAnsi="Arial" w:cs="Arial"/>
        </w:rPr>
        <w:t xml:space="preserve"> las plantas de regasificación</w:t>
      </w:r>
      <w:r w:rsidR="00E741C9" w:rsidRPr="00332D6C">
        <w:rPr>
          <w:rFonts w:ascii="Arial" w:hAnsi="Arial" w:cs="Arial"/>
        </w:rPr>
        <w:t xml:space="preserve"> es un 10</w:t>
      </w:r>
      <w:r w:rsidR="00C33F21" w:rsidRPr="00332D6C">
        <w:rPr>
          <w:rFonts w:ascii="Arial" w:hAnsi="Arial" w:cs="Arial"/>
        </w:rPr>
        <w:t>6</w:t>
      </w:r>
      <w:r w:rsidR="00B8064A" w:rsidRPr="00332D6C">
        <w:rPr>
          <w:rFonts w:ascii="Arial" w:hAnsi="Arial" w:cs="Arial"/>
        </w:rPr>
        <w:t>%</w:t>
      </w:r>
      <w:r w:rsidR="00F97FEC" w:rsidRPr="00332D6C">
        <w:rPr>
          <w:rFonts w:ascii="Arial" w:hAnsi="Arial" w:cs="Arial"/>
        </w:rPr>
        <w:t xml:space="preserve"> </w:t>
      </w:r>
      <w:r w:rsidR="00C33F21" w:rsidRPr="00332D6C">
        <w:rPr>
          <w:rFonts w:ascii="Arial" w:hAnsi="Arial" w:cs="Arial"/>
        </w:rPr>
        <w:t>superior</w:t>
      </w:r>
      <w:r w:rsidR="00831551" w:rsidRPr="00332D6C">
        <w:rPr>
          <w:rFonts w:ascii="Arial" w:hAnsi="Arial" w:cs="Arial"/>
        </w:rPr>
        <w:t xml:space="preserve"> </w:t>
      </w:r>
      <w:r w:rsidR="00D64C10">
        <w:rPr>
          <w:rFonts w:ascii="Arial" w:hAnsi="Arial" w:cs="Arial"/>
        </w:rPr>
        <w:t>a</w:t>
      </w:r>
      <w:r w:rsidR="00F97FEC" w:rsidRPr="00332D6C">
        <w:rPr>
          <w:rFonts w:ascii="Arial" w:hAnsi="Arial" w:cs="Arial"/>
        </w:rPr>
        <w:t xml:space="preserve"> 201</w:t>
      </w:r>
      <w:r w:rsidR="00C33F21" w:rsidRPr="00332D6C">
        <w:rPr>
          <w:rFonts w:ascii="Arial" w:hAnsi="Arial" w:cs="Arial"/>
        </w:rPr>
        <w:t>8</w:t>
      </w:r>
      <w:r w:rsidR="00F97FEC" w:rsidRPr="00332D6C">
        <w:rPr>
          <w:rFonts w:ascii="Arial" w:hAnsi="Arial" w:cs="Arial"/>
        </w:rPr>
        <w:t xml:space="preserve"> (-</w:t>
      </w:r>
      <w:r w:rsidR="00E741C9" w:rsidRPr="00332D6C">
        <w:rPr>
          <w:rFonts w:ascii="Arial" w:hAnsi="Arial" w:cs="Arial"/>
        </w:rPr>
        <w:t>3</w:t>
      </w:r>
      <w:r w:rsidR="00C33F21" w:rsidRPr="00332D6C">
        <w:rPr>
          <w:rFonts w:ascii="Arial" w:hAnsi="Arial" w:cs="Arial"/>
        </w:rPr>
        <w:t>00</w:t>
      </w:r>
      <w:r w:rsidR="00F97FEC" w:rsidRPr="00332D6C">
        <w:rPr>
          <w:rFonts w:ascii="Arial" w:hAnsi="Arial" w:cs="Arial"/>
        </w:rPr>
        <w:t>.</w:t>
      </w:r>
      <w:r w:rsidR="00C33F21" w:rsidRPr="00332D6C">
        <w:rPr>
          <w:rFonts w:ascii="Arial" w:hAnsi="Arial" w:cs="Arial"/>
        </w:rPr>
        <w:t>357</w:t>
      </w:r>
      <w:r w:rsidR="00E741C9" w:rsidRPr="00332D6C">
        <w:rPr>
          <w:rFonts w:ascii="Arial" w:hAnsi="Arial" w:cs="Arial"/>
        </w:rPr>
        <w:t>,</w:t>
      </w:r>
      <w:r w:rsidR="00C33F21" w:rsidRPr="00332D6C">
        <w:rPr>
          <w:rFonts w:ascii="Arial" w:hAnsi="Arial" w:cs="Arial"/>
        </w:rPr>
        <w:t>1</w:t>
      </w:r>
      <w:r w:rsidR="00831551" w:rsidRPr="00332D6C">
        <w:rPr>
          <w:rFonts w:ascii="Arial" w:hAnsi="Arial" w:cs="Arial"/>
        </w:rPr>
        <w:t>0</w:t>
      </w:r>
      <w:r w:rsidR="00F97FEC" w:rsidRPr="00332D6C">
        <w:rPr>
          <w:rFonts w:ascii="Arial" w:hAnsi="Arial" w:cs="Arial"/>
        </w:rPr>
        <w:t xml:space="preserve"> </w:t>
      </w:r>
      <w:proofErr w:type="spellStart"/>
      <w:r w:rsidR="00F97FEC" w:rsidRPr="00332D6C">
        <w:rPr>
          <w:rFonts w:ascii="Arial" w:hAnsi="Arial" w:cs="Arial"/>
        </w:rPr>
        <w:t>MWh</w:t>
      </w:r>
      <w:proofErr w:type="spellEnd"/>
      <w:r w:rsidR="00F97FEC" w:rsidRPr="00332D6C">
        <w:rPr>
          <w:rFonts w:ascii="Arial" w:hAnsi="Arial" w:cs="Arial"/>
        </w:rPr>
        <w:t>)</w:t>
      </w:r>
      <w:r w:rsidR="000A710A">
        <w:rPr>
          <w:rFonts w:ascii="Arial" w:hAnsi="Arial" w:cs="Arial"/>
        </w:rPr>
        <w:t>.</w:t>
      </w:r>
      <w:r w:rsidR="00F97FEC" w:rsidRPr="00332D6C">
        <w:rPr>
          <w:rFonts w:ascii="Arial" w:hAnsi="Arial" w:cs="Arial"/>
        </w:rPr>
        <w:t xml:space="preserve"> </w:t>
      </w:r>
    </w:p>
    <w:p w14:paraId="387BA0A2" w14:textId="77777777" w:rsidR="00F97FEC" w:rsidRPr="00332D6C" w:rsidRDefault="00F97FEC" w:rsidP="0088224E">
      <w:pPr>
        <w:jc w:val="both"/>
        <w:rPr>
          <w:rFonts w:ascii="Arial" w:hAnsi="Arial" w:cs="Arial"/>
        </w:rPr>
      </w:pPr>
    </w:p>
    <w:p w14:paraId="09B5FCFD" w14:textId="753C90D4" w:rsidR="00C01078" w:rsidRDefault="00077242" w:rsidP="0088224E">
      <w:pPr>
        <w:jc w:val="both"/>
        <w:rPr>
          <w:rFonts w:ascii="Arial" w:hAnsi="Arial" w:cs="Arial"/>
        </w:rPr>
      </w:pPr>
      <w:r w:rsidRPr="00332D6C">
        <w:rPr>
          <w:rFonts w:ascii="Arial" w:hAnsi="Arial" w:cs="Arial"/>
        </w:rPr>
        <w:t>C</w:t>
      </w:r>
      <w:r w:rsidR="00F97FEC" w:rsidRPr="00332D6C">
        <w:rPr>
          <w:rFonts w:ascii="Arial" w:hAnsi="Arial" w:cs="Arial"/>
        </w:rPr>
        <w:t>omo consecuencia de los saldos de mermas en 201</w:t>
      </w:r>
      <w:r w:rsidR="00C33F21" w:rsidRPr="00332D6C">
        <w:rPr>
          <w:rFonts w:ascii="Arial" w:hAnsi="Arial" w:cs="Arial"/>
        </w:rPr>
        <w:t>9</w:t>
      </w:r>
      <w:r w:rsidR="00F97FEC" w:rsidRPr="00332D6C">
        <w:rPr>
          <w:rFonts w:ascii="Arial" w:hAnsi="Arial" w:cs="Arial"/>
        </w:rPr>
        <w:t xml:space="preserve"> </w:t>
      </w:r>
      <w:r w:rsidR="0088224E" w:rsidRPr="00332D6C">
        <w:rPr>
          <w:rFonts w:ascii="Arial" w:hAnsi="Arial" w:cs="Arial"/>
        </w:rPr>
        <w:t xml:space="preserve">la retribución de todos los titulares de </w:t>
      </w:r>
      <w:r w:rsidR="00183EE2">
        <w:rPr>
          <w:rFonts w:ascii="Arial" w:hAnsi="Arial" w:cs="Arial"/>
        </w:rPr>
        <w:t>plantas</w:t>
      </w:r>
      <w:r w:rsidR="0088224E" w:rsidRPr="00332D6C">
        <w:rPr>
          <w:rFonts w:ascii="Arial" w:hAnsi="Arial" w:cs="Arial"/>
        </w:rPr>
        <w:t xml:space="preserve"> de GNL </w:t>
      </w:r>
      <w:r w:rsidR="00F97FEC" w:rsidRPr="00332D6C">
        <w:rPr>
          <w:rFonts w:ascii="Arial" w:hAnsi="Arial" w:cs="Arial"/>
        </w:rPr>
        <w:t>se incrementará</w:t>
      </w:r>
      <w:r w:rsidRPr="00332D6C">
        <w:rPr>
          <w:rFonts w:ascii="Arial" w:hAnsi="Arial" w:cs="Arial"/>
        </w:rPr>
        <w:t xml:space="preserve">. </w:t>
      </w:r>
      <w:r w:rsidR="00CE2D1D" w:rsidRPr="00332D6C">
        <w:rPr>
          <w:rFonts w:ascii="Arial" w:hAnsi="Arial" w:cs="Arial"/>
        </w:rPr>
        <w:t>Al hacer la comparativa con el año 201</w:t>
      </w:r>
      <w:r w:rsidR="00C01078" w:rsidRPr="00332D6C">
        <w:rPr>
          <w:rFonts w:ascii="Arial" w:hAnsi="Arial" w:cs="Arial"/>
        </w:rPr>
        <w:t>8</w:t>
      </w:r>
      <w:r w:rsidR="00DF1349" w:rsidRPr="00332D6C">
        <w:rPr>
          <w:rFonts w:ascii="Arial" w:hAnsi="Arial" w:cs="Arial"/>
        </w:rPr>
        <w:t xml:space="preserve">, </w:t>
      </w:r>
      <w:r w:rsidR="00C01078" w:rsidRPr="00332D6C">
        <w:rPr>
          <w:rFonts w:ascii="Arial" w:hAnsi="Arial" w:cs="Arial"/>
        </w:rPr>
        <w:t>SAGGAS</w:t>
      </w:r>
      <w:r w:rsidR="00C02B5B" w:rsidRPr="00332D6C">
        <w:rPr>
          <w:rFonts w:ascii="Arial" w:hAnsi="Arial" w:cs="Arial"/>
        </w:rPr>
        <w:t xml:space="preserve"> </w:t>
      </w:r>
      <w:r w:rsidR="0022368B">
        <w:rPr>
          <w:rFonts w:ascii="Arial" w:hAnsi="Arial" w:cs="Arial"/>
        </w:rPr>
        <w:t xml:space="preserve">y BBG </w:t>
      </w:r>
      <w:r w:rsidR="00234F88" w:rsidRPr="00332D6C">
        <w:rPr>
          <w:rFonts w:ascii="Arial" w:hAnsi="Arial" w:cs="Arial"/>
        </w:rPr>
        <w:t xml:space="preserve">presentan </w:t>
      </w:r>
      <w:r w:rsidR="0022368B">
        <w:rPr>
          <w:rFonts w:ascii="Arial" w:hAnsi="Arial" w:cs="Arial"/>
        </w:rPr>
        <w:t>el mayor</w:t>
      </w:r>
      <w:r w:rsidR="00234F88" w:rsidRPr="00332D6C">
        <w:rPr>
          <w:rFonts w:ascii="Arial" w:hAnsi="Arial" w:cs="Arial"/>
        </w:rPr>
        <w:t xml:space="preserve"> incremento de </w:t>
      </w:r>
      <w:r w:rsidR="0022368B">
        <w:rPr>
          <w:rFonts w:ascii="Arial" w:hAnsi="Arial" w:cs="Arial"/>
        </w:rPr>
        <w:t>retribución por el saldo de mermas</w:t>
      </w:r>
      <w:r w:rsidR="00234F88" w:rsidRPr="00332D6C">
        <w:rPr>
          <w:rFonts w:ascii="Arial" w:hAnsi="Arial" w:cs="Arial"/>
        </w:rPr>
        <w:t xml:space="preserve"> respecto al año anterior.</w:t>
      </w:r>
      <w:r w:rsidR="00234F88">
        <w:rPr>
          <w:rFonts w:ascii="Arial" w:hAnsi="Arial" w:cs="Arial"/>
        </w:rPr>
        <w:t xml:space="preserve"> También lo hace </w:t>
      </w:r>
      <w:r w:rsidR="00C01078" w:rsidRPr="00332D6C">
        <w:rPr>
          <w:rFonts w:ascii="Arial" w:hAnsi="Arial" w:cs="Arial"/>
        </w:rPr>
        <w:t>Enagás Transporte, a pesar de que las plantas de Barcelona y Huelva ven reducida su retribución</w:t>
      </w:r>
      <w:r w:rsidR="00332D6C" w:rsidRPr="00332D6C">
        <w:rPr>
          <w:rFonts w:ascii="Arial" w:hAnsi="Arial" w:cs="Arial"/>
        </w:rPr>
        <w:t xml:space="preserve"> en 221.585,70 € y 133.232,94 €</w:t>
      </w:r>
      <w:r w:rsidR="00C01078" w:rsidRPr="00332D6C">
        <w:rPr>
          <w:rFonts w:ascii="Arial" w:hAnsi="Arial" w:cs="Arial"/>
        </w:rPr>
        <w:t xml:space="preserve">, </w:t>
      </w:r>
      <w:r w:rsidR="00234F88">
        <w:rPr>
          <w:rFonts w:ascii="Arial" w:hAnsi="Arial" w:cs="Arial"/>
        </w:rPr>
        <w:t>junto con la planta de</w:t>
      </w:r>
      <w:r w:rsidR="0088224E" w:rsidRPr="00332D6C">
        <w:rPr>
          <w:rFonts w:ascii="Arial" w:hAnsi="Arial" w:cs="Arial"/>
        </w:rPr>
        <w:t xml:space="preserve"> </w:t>
      </w:r>
      <w:r w:rsidR="00C01078" w:rsidRPr="00332D6C">
        <w:rPr>
          <w:rFonts w:ascii="Arial" w:hAnsi="Arial" w:cs="Arial"/>
        </w:rPr>
        <w:t>REGANOSA</w:t>
      </w:r>
      <w:r w:rsidR="00234F88">
        <w:rPr>
          <w:rFonts w:ascii="Arial" w:hAnsi="Arial" w:cs="Arial"/>
        </w:rPr>
        <w:t xml:space="preserve">, </w:t>
      </w:r>
      <w:r w:rsidR="000A6525">
        <w:rPr>
          <w:rFonts w:ascii="Arial" w:hAnsi="Arial" w:cs="Arial"/>
        </w:rPr>
        <w:t xml:space="preserve">a la </w:t>
      </w:r>
      <w:r w:rsidR="00234F88">
        <w:rPr>
          <w:rFonts w:ascii="Arial" w:hAnsi="Arial" w:cs="Arial"/>
        </w:rPr>
        <w:t xml:space="preserve">que igualmente </w:t>
      </w:r>
      <w:r w:rsidR="000A6525">
        <w:rPr>
          <w:rFonts w:ascii="Arial" w:hAnsi="Arial" w:cs="Arial"/>
        </w:rPr>
        <w:t xml:space="preserve">se </w:t>
      </w:r>
      <w:proofErr w:type="gramStart"/>
      <w:r w:rsidR="000A6525">
        <w:rPr>
          <w:rFonts w:ascii="Arial" w:hAnsi="Arial" w:cs="Arial"/>
        </w:rPr>
        <w:t>le</w:t>
      </w:r>
      <w:proofErr w:type="gramEnd"/>
      <w:r w:rsidR="000A6525">
        <w:rPr>
          <w:rFonts w:ascii="Arial" w:hAnsi="Arial" w:cs="Arial"/>
        </w:rPr>
        <w:t xml:space="preserve"> reducirá </w:t>
      </w:r>
      <w:r w:rsidR="00F97FEC" w:rsidRPr="00332D6C">
        <w:rPr>
          <w:rFonts w:ascii="Arial" w:hAnsi="Arial" w:cs="Arial"/>
        </w:rPr>
        <w:t>su retribución</w:t>
      </w:r>
      <w:r w:rsidR="00DA0FE1" w:rsidRPr="00332D6C">
        <w:rPr>
          <w:rFonts w:ascii="Arial" w:hAnsi="Arial" w:cs="Arial"/>
        </w:rPr>
        <w:t xml:space="preserve"> </w:t>
      </w:r>
      <w:r w:rsidR="005D0E55" w:rsidRPr="00332D6C">
        <w:rPr>
          <w:rFonts w:ascii="Arial" w:hAnsi="Arial" w:cs="Arial"/>
        </w:rPr>
        <w:t xml:space="preserve">correspondiente a mermas </w:t>
      </w:r>
      <w:r w:rsidR="00DA0FE1" w:rsidRPr="00332D6C">
        <w:rPr>
          <w:rFonts w:ascii="Arial" w:hAnsi="Arial" w:cs="Arial"/>
        </w:rPr>
        <w:t>respecto a 201</w:t>
      </w:r>
      <w:r w:rsidR="0022368B">
        <w:rPr>
          <w:rFonts w:ascii="Arial" w:hAnsi="Arial" w:cs="Arial"/>
        </w:rPr>
        <w:t>8</w:t>
      </w:r>
      <w:r w:rsidR="0018166D">
        <w:rPr>
          <w:rFonts w:ascii="Arial" w:hAnsi="Arial" w:cs="Arial"/>
        </w:rPr>
        <w:t>.</w:t>
      </w:r>
    </w:p>
    <w:p w14:paraId="68121135" w14:textId="77777777" w:rsidR="00305FD0" w:rsidRPr="00332D6C" w:rsidRDefault="00305FD0" w:rsidP="0088224E">
      <w:pPr>
        <w:jc w:val="both"/>
        <w:rPr>
          <w:rFonts w:ascii="Arial" w:hAnsi="Arial" w:cs="Arial"/>
        </w:rPr>
      </w:pPr>
    </w:p>
    <w:p w14:paraId="5E41DE8E" w14:textId="77777777" w:rsidR="005B689F" w:rsidRPr="002528B7" w:rsidRDefault="005B689F" w:rsidP="007429D4">
      <w:pPr>
        <w:pStyle w:val="Prrafodelista"/>
        <w:widowControl w:val="0"/>
        <w:numPr>
          <w:ilvl w:val="0"/>
          <w:numId w:val="41"/>
        </w:numPr>
        <w:spacing w:before="120" w:after="120"/>
        <w:ind w:left="283" w:hanging="357"/>
        <w:rPr>
          <w:rFonts w:cs="Arial"/>
          <w:b/>
        </w:rPr>
      </w:pPr>
      <w:r w:rsidRPr="002528B7">
        <w:rPr>
          <w:rFonts w:cs="Arial"/>
          <w:b/>
        </w:rPr>
        <w:t>Evolución histórica de los saldos de mermas de regasificación</w:t>
      </w:r>
    </w:p>
    <w:p w14:paraId="2003DA02" w14:textId="77777777" w:rsidR="003F5EF7" w:rsidRPr="002528B7" w:rsidRDefault="004E7E0C" w:rsidP="004E7E0C">
      <w:pPr>
        <w:jc w:val="both"/>
        <w:rPr>
          <w:rFonts w:ascii="Arial" w:hAnsi="Arial" w:cs="Arial"/>
        </w:rPr>
      </w:pPr>
      <w:r w:rsidRPr="002528B7">
        <w:rPr>
          <w:rFonts w:ascii="Arial" w:hAnsi="Arial" w:cs="Arial"/>
        </w:rPr>
        <w:t>A continuación, se muestra</w:t>
      </w:r>
      <w:r w:rsidR="003F5EF7" w:rsidRPr="002528B7">
        <w:rPr>
          <w:rFonts w:ascii="Arial" w:hAnsi="Arial" w:cs="Arial"/>
        </w:rPr>
        <w:t xml:space="preserve"> </w:t>
      </w:r>
      <w:r w:rsidRPr="002528B7">
        <w:rPr>
          <w:rFonts w:ascii="Arial" w:hAnsi="Arial" w:cs="Arial"/>
        </w:rPr>
        <w:t>la evolución de los saldos de mermas de regasificación por planta desde el año 2010</w:t>
      </w:r>
      <w:r w:rsidR="003F5EF7" w:rsidRPr="002528B7">
        <w:rPr>
          <w:rStyle w:val="Refdenotaalpie"/>
          <w:rFonts w:ascii="Arial" w:hAnsi="Arial" w:cs="Arial"/>
        </w:rPr>
        <w:footnoteReference w:id="4"/>
      </w:r>
      <w:r w:rsidR="005C71FD" w:rsidRPr="002528B7">
        <w:rPr>
          <w:rFonts w:ascii="Arial" w:hAnsi="Arial" w:cs="Arial"/>
        </w:rPr>
        <w:t>.</w:t>
      </w:r>
      <w:r w:rsidR="003F5EF7" w:rsidRPr="002528B7">
        <w:rPr>
          <w:rFonts w:ascii="Arial" w:hAnsi="Arial" w:cs="Arial"/>
        </w:rPr>
        <w:t xml:space="preserve"> </w:t>
      </w:r>
    </w:p>
    <w:p w14:paraId="4ECF5232" w14:textId="77777777" w:rsidR="004E7E0C" w:rsidRPr="002528B7" w:rsidRDefault="004E7E0C" w:rsidP="004E7E0C">
      <w:pPr>
        <w:jc w:val="both"/>
        <w:rPr>
          <w:rFonts w:ascii="Arial" w:hAnsi="Arial" w:cs="Arial"/>
        </w:rPr>
      </w:pPr>
    </w:p>
    <w:p w14:paraId="02912F58" w14:textId="4901C221" w:rsidR="00A7722E" w:rsidRPr="00973A27" w:rsidRDefault="002528B7" w:rsidP="003F5EF7">
      <w:pPr>
        <w:widowControl w:val="0"/>
        <w:jc w:val="center"/>
        <w:rPr>
          <w:rFonts w:ascii="Arial" w:hAnsi="Arial" w:cs="Arial"/>
        </w:rPr>
      </w:pPr>
      <w:r w:rsidRPr="00973A27">
        <w:rPr>
          <w:noProof/>
        </w:rPr>
        <w:drawing>
          <wp:inline distT="0" distB="0" distL="0" distR="0" wp14:anchorId="1F26E1D8" wp14:editId="18A48BF2">
            <wp:extent cx="5490210" cy="243586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0210" cy="2435860"/>
                    </a:xfrm>
                    <a:prstGeom prst="rect">
                      <a:avLst/>
                    </a:prstGeom>
                    <a:noFill/>
                    <a:ln>
                      <a:noFill/>
                    </a:ln>
                  </pic:spPr>
                </pic:pic>
              </a:graphicData>
            </a:graphic>
          </wp:inline>
        </w:drawing>
      </w:r>
    </w:p>
    <w:p w14:paraId="16D1FB05" w14:textId="419ACA85" w:rsidR="005B689F" w:rsidRPr="00973A27" w:rsidRDefault="005B689F" w:rsidP="004E7E0C">
      <w:pPr>
        <w:spacing w:before="120"/>
        <w:jc w:val="center"/>
        <w:rPr>
          <w:rFonts w:ascii="Arial" w:hAnsi="Arial" w:cs="Arial"/>
          <w:sz w:val="20"/>
          <w:szCs w:val="20"/>
        </w:rPr>
      </w:pPr>
      <w:r w:rsidRPr="00973A27">
        <w:rPr>
          <w:rFonts w:ascii="Arial" w:hAnsi="Arial" w:cs="Arial"/>
          <w:sz w:val="20"/>
          <w:szCs w:val="20"/>
        </w:rPr>
        <w:t xml:space="preserve">Figura </w:t>
      </w:r>
      <w:r w:rsidR="009E0541">
        <w:rPr>
          <w:rFonts w:ascii="Arial" w:hAnsi="Arial" w:cs="Arial"/>
          <w:sz w:val="20"/>
          <w:szCs w:val="20"/>
        </w:rPr>
        <w:t>10</w:t>
      </w:r>
      <w:r w:rsidRPr="00973A27">
        <w:rPr>
          <w:rFonts w:ascii="Arial" w:hAnsi="Arial" w:cs="Arial"/>
          <w:sz w:val="20"/>
          <w:szCs w:val="20"/>
        </w:rPr>
        <w:t>: Evolución de los saldos de mermas en regasificación por planta desde el año 2010</w:t>
      </w:r>
      <w:r w:rsidR="00392505" w:rsidRPr="00973A27">
        <w:rPr>
          <w:rFonts w:ascii="Arial" w:hAnsi="Arial" w:cs="Arial"/>
          <w:sz w:val="20"/>
          <w:szCs w:val="20"/>
        </w:rPr>
        <w:t>.</w:t>
      </w:r>
    </w:p>
    <w:p w14:paraId="10979D34" w14:textId="77777777" w:rsidR="00053AA7" w:rsidRPr="00973A27" w:rsidRDefault="00053AA7" w:rsidP="003F5EF7">
      <w:pPr>
        <w:jc w:val="both"/>
        <w:rPr>
          <w:rFonts w:ascii="Arial" w:hAnsi="Arial" w:cs="Arial"/>
        </w:rPr>
      </w:pPr>
    </w:p>
    <w:p w14:paraId="237688B8" w14:textId="656337A8" w:rsidR="003F5EF7" w:rsidRPr="00973A27" w:rsidRDefault="003F5EF7" w:rsidP="003F5EF7">
      <w:pPr>
        <w:jc w:val="both"/>
        <w:rPr>
          <w:rFonts w:ascii="Arial" w:hAnsi="Arial" w:cs="Arial"/>
        </w:rPr>
      </w:pPr>
      <w:r w:rsidRPr="00973A27">
        <w:rPr>
          <w:rFonts w:ascii="Arial" w:hAnsi="Arial" w:cs="Arial"/>
        </w:rPr>
        <w:t xml:space="preserve">Se observa que la mayoría de saldos de mermas son negativos para todas las plantas y años, a excepción de la planta de Cartagena </w:t>
      </w:r>
      <w:r w:rsidR="00113A3C" w:rsidRPr="00973A27">
        <w:rPr>
          <w:rFonts w:ascii="Arial" w:hAnsi="Arial" w:cs="Arial"/>
        </w:rPr>
        <w:t>para el periodo 2013-2017</w:t>
      </w:r>
      <w:r w:rsidRPr="00973A27">
        <w:rPr>
          <w:rFonts w:ascii="Arial" w:hAnsi="Arial" w:cs="Arial"/>
        </w:rPr>
        <w:t xml:space="preserve"> y de manera puntual, la</w:t>
      </w:r>
      <w:r w:rsidR="00332D6C" w:rsidRPr="00973A27">
        <w:rPr>
          <w:rFonts w:ascii="Arial" w:hAnsi="Arial" w:cs="Arial"/>
        </w:rPr>
        <w:t>s</w:t>
      </w:r>
      <w:r w:rsidRPr="00973A27">
        <w:rPr>
          <w:rFonts w:ascii="Arial" w:hAnsi="Arial" w:cs="Arial"/>
        </w:rPr>
        <w:t xml:space="preserve"> planta</w:t>
      </w:r>
      <w:r w:rsidR="00332D6C" w:rsidRPr="00973A27">
        <w:rPr>
          <w:rFonts w:ascii="Arial" w:hAnsi="Arial" w:cs="Arial"/>
        </w:rPr>
        <w:t>s</w:t>
      </w:r>
      <w:r w:rsidRPr="00973A27">
        <w:rPr>
          <w:rFonts w:ascii="Arial" w:hAnsi="Arial" w:cs="Arial"/>
        </w:rPr>
        <w:t xml:space="preserve"> </w:t>
      </w:r>
      <w:r w:rsidR="00332D6C" w:rsidRPr="00973A27">
        <w:rPr>
          <w:rFonts w:ascii="Arial" w:hAnsi="Arial" w:cs="Arial"/>
        </w:rPr>
        <w:t xml:space="preserve">de Huelva y </w:t>
      </w:r>
      <w:r w:rsidRPr="00973A27">
        <w:rPr>
          <w:rFonts w:ascii="Arial" w:hAnsi="Arial" w:cs="Arial"/>
        </w:rPr>
        <w:t xml:space="preserve">de Barcelona para </w:t>
      </w:r>
      <w:r w:rsidR="00332D6C" w:rsidRPr="00973A27">
        <w:rPr>
          <w:rFonts w:ascii="Arial" w:hAnsi="Arial" w:cs="Arial"/>
        </w:rPr>
        <w:t xml:space="preserve">los </w:t>
      </w:r>
      <w:r w:rsidRPr="00973A27">
        <w:rPr>
          <w:rFonts w:ascii="Arial" w:hAnsi="Arial" w:cs="Arial"/>
        </w:rPr>
        <w:t>año</w:t>
      </w:r>
      <w:r w:rsidR="00332D6C" w:rsidRPr="00973A27">
        <w:rPr>
          <w:rFonts w:ascii="Arial" w:hAnsi="Arial" w:cs="Arial"/>
        </w:rPr>
        <w:t>s</w:t>
      </w:r>
      <w:r w:rsidRPr="00973A27">
        <w:rPr>
          <w:rFonts w:ascii="Arial" w:hAnsi="Arial" w:cs="Arial"/>
        </w:rPr>
        <w:t xml:space="preserve"> 201</w:t>
      </w:r>
      <w:r w:rsidR="00332D6C" w:rsidRPr="00973A27">
        <w:rPr>
          <w:rFonts w:ascii="Arial" w:hAnsi="Arial" w:cs="Arial"/>
        </w:rPr>
        <w:t>3-2014 y 2016, respectivamente.</w:t>
      </w:r>
    </w:p>
    <w:p w14:paraId="1567B07F" w14:textId="77777777" w:rsidR="005C71FD" w:rsidRPr="00973A27" w:rsidRDefault="005C71FD" w:rsidP="003F5EF7">
      <w:pPr>
        <w:jc w:val="both"/>
        <w:rPr>
          <w:rFonts w:ascii="Arial" w:hAnsi="Arial" w:cs="Arial"/>
        </w:rPr>
      </w:pPr>
    </w:p>
    <w:p w14:paraId="45EAADB6" w14:textId="6A5835C4" w:rsidR="00053AA7" w:rsidRPr="00973A27" w:rsidRDefault="005C71FD" w:rsidP="005C71FD">
      <w:pPr>
        <w:jc w:val="both"/>
        <w:rPr>
          <w:rFonts w:ascii="Arial" w:hAnsi="Arial" w:cs="Arial"/>
        </w:rPr>
      </w:pPr>
      <w:r w:rsidRPr="00973A27">
        <w:rPr>
          <w:rFonts w:ascii="Arial" w:hAnsi="Arial" w:cs="Arial"/>
        </w:rPr>
        <w:t xml:space="preserve">Por otro lado, se </w:t>
      </w:r>
      <w:r w:rsidR="00053AA7" w:rsidRPr="00973A27">
        <w:rPr>
          <w:rFonts w:ascii="Arial" w:hAnsi="Arial" w:cs="Arial"/>
        </w:rPr>
        <w:t xml:space="preserve">presenta </w:t>
      </w:r>
      <w:r w:rsidR="00392505" w:rsidRPr="00973A27">
        <w:rPr>
          <w:rFonts w:ascii="Arial" w:hAnsi="Arial" w:cs="Arial"/>
        </w:rPr>
        <w:t xml:space="preserve">en la Figura </w:t>
      </w:r>
      <w:r w:rsidR="009E0541">
        <w:rPr>
          <w:rFonts w:ascii="Arial" w:hAnsi="Arial" w:cs="Arial"/>
        </w:rPr>
        <w:t>11</w:t>
      </w:r>
      <w:r w:rsidR="009E5694" w:rsidRPr="00973A27">
        <w:rPr>
          <w:rFonts w:ascii="Arial" w:hAnsi="Arial" w:cs="Arial"/>
        </w:rPr>
        <w:t xml:space="preserve"> </w:t>
      </w:r>
      <w:r w:rsidRPr="00973A27">
        <w:rPr>
          <w:rFonts w:ascii="Arial" w:hAnsi="Arial" w:cs="Arial"/>
        </w:rPr>
        <w:t>la evolución de la valoración de los saldos de mermas, con las cantidades a adicionar o descontar de la retribución de los titulares de las plantas de regasificación</w:t>
      </w:r>
      <w:r w:rsidR="00053AA7" w:rsidRPr="00973A27">
        <w:rPr>
          <w:rFonts w:ascii="Arial" w:hAnsi="Arial" w:cs="Arial"/>
        </w:rPr>
        <w:t xml:space="preserve">. </w:t>
      </w:r>
    </w:p>
    <w:p w14:paraId="5716F416" w14:textId="77777777" w:rsidR="00053AA7" w:rsidRPr="00973A27" w:rsidRDefault="00053AA7" w:rsidP="005C71FD">
      <w:pPr>
        <w:jc w:val="both"/>
        <w:rPr>
          <w:rFonts w:ascii="Arial" w:hAnsi="Arial" w:cs="Arial"/>
        </w:rPr>
      </w:pPr>
    </w:p>
    <w:p w14:paraId="51283649" w14:textId="048B157D" w:rsidR="00332D6C" w:rsidRPr="00973A27" w:rsidRDefault="00053AA7" w:rsidP="005C71FD">
      <w:pPr>
        <w:jc w:val="both"/>
        <w:rPr>
          <w:rFonts w:ascii="Arial" w:hAnsi="Arial" w:cs="Arial"/>
        </w:rPr>
      </w:pPr>
      <w:r w:rsidRPr="00973A27">
        <w:rPr>
          <w:rFonts w:ascii="Arial" w:hAnsi="Arial" w:cs="Arial"/>
        </w:rPr>
        <w:t xml:space="preserve">Destaca </w:t>
      </w:r>
      <w:r w:rsidR="00851A49">
        <w:rPr>
          <w:rFonts w:ascii="Arial" w:hAnsi="Arial" w:cs="Arial"/>
        </w:rPr>
        <w:t xml:space="preserve">en 2019 </w:t>
      </w:r>
      <w:r w:rsidRPr="00973A27">
        <w:rPr>
          <w:rFonts w:ascii="Arial" w:hAnsi="Arial" w:cs="Arial"/>
        </w:rPr>
        <w:t xml:space="preserve">la reducción de las cantidades a adicionar </w:t>
      </w:r>
      <w:r w:rsidR="006A3201" w:rsidRPr="00973A27">
        <w:rPr>
          <w:rFonts w:ascii="Arial" w:hAnsi="Arial" w:cs="Arial"/>
        </w:rPr>
        <w:t xml:space="preserve">en la retribución a los titulares de las plantas de </w:t>
      </w:r>
      <w:r w:rsidRPr="00973A27">
        <w:rPr>
          <w:rFonts w:ascii="Arial" w:hAnsi="Arial" w:cs="Arial"/>
        </w:rPr>
        <w:t>Barcelona</w:t>
      </w:r>
      <w:r w:rsidR="00851A49">
        <w:rPr>
          <w:rFonts w:ascii="Arial" w:hAnsi="Arial" w:cs="Arial"/>
        </w:rPr>
        <w:t>, Huelva</w:t>
      </w:r>
      <w:r w:rsidRPr="00973A27">
        <w:rPr>
          <w:rFonts w:ascii="Arial" w:hAnsi="Arial" w:cs="Arial"/>
        </w:rPr>
        <w:t xml:space="preserve"> y Mugardos, así como </w:t>
      </w:r>
      <w:r w:rsidR="00851A49">
        <w:rPr>
          <w:rFonts w:ascii="Arial" w:hAnsi="Arial" w:cs="Arial"/>
        </w:rPr>
        <w:t xml:space="preserve">la evolución de </w:t>
      </w:r>
      <w:r w:rsidR="006A3201" w:rsidRPr="00973A27">
        <w:rPr>
          <w:rFonts w:ascii="Arial" w:hAnsi="Arial" w:cs="Arial"/>
        </w:rPr>
        <w:t>Cartagena</w:t>
      </w:r>
      <w:r w:rsidRPr="00973A27">
        <w:rPr>
          <w:rFonts w:ascii="Arial" w:hAnsi="Arial" w:cs="Arial"/>
        </w:rPr>
        <w:t>, que</w:t>
      </w:r>
      <w:r w:rsidR="00392505" w:rsidRPr="00973A27">
        <w:rPr>
          <w:rFonts w:ascii="Arial" w:hAnsi="Arial" w:cs="Arial"/>
        </w:rPr>
        <w:t>, como ya se ha indicado,</w:t>
      </w:r>
      <w:r w:rsidRPr="00973A27">
        <w:rPr>
          <w:rFonts w:ascii="Arial" w:hAnsi="Arial" w:cs="Arial"/>
        </w:rPr>
        <w:t xml:space="preserve"> pasa </w:t>
      </w:r>
      <w:r w:rsidR="006A3201" w:rsidRPr="00973A27">
        <w:rPr>
          <w:rFonts w:ascii="Arial" w:hAnsi="Arial" w:cs="Arial"/>
        </w:rPr>
        <w:t xml:space="preserve">de tener una minoración de la </w:t>
      </w:r>
      <w:r w:rsidR="00392505" w:rsidRPr="00973A27">
        <w:rPr>
          <w:rFonts w:ascii="Arial" w:hAnsi="Arial" w:cs="Arial"/>
        </w:rPr>
        <w:t xml:space="preserve">retribución </w:t>
      </w:r>
      <w:r w:rsidR="006A3201" w:rsidRPr="00973A27">
        <w:rPr>
          <w:rFonts w:ascii="Arial" w:hAnsi="Arial" w:cs="Arial"/>
        </w:rPr>
        <w:t>por presentar saldo de mermas de regasificación positivo</w:t>
      </w:r>
      <w:r w:rsidR="00123B87" w:rsidRPr="00973A27">
        <w:rPr>
          <w:rFonts w:ascii="Arial" w:hAnsi="Arial" w:cs="Arial"/>
        </w:rPr>
        <w:t xml:space="preserve"> durante el periodo 2013-2017</w:t>
      </w:r>
      <w:r w:rsidR="00392505" w:rsidRPr="00973A27">
        <w:rPr>
          <w:rFonts w:ascii="Arial" w:hAnsi="Arial" w:cs="Arial"/>
        </w:rPr>
        <w:t xml:space="preserve">, a ver incrementada su retribución por las mermas en </w:t>
      </w:r>
      <w:r w:rsidR="00973A27" w:rsidRPr="00973A27">
        <w:rPr>
          <w:rFonts w:ascii="Arial" w:hAnsi="Arial" w:cs="Arial"/>
        </w:rPr>
        <w:t xml:space="preserve">los años </w:t>
      </w:r>
      <w:r w:rsidR="00392505" w:rsidRPr="00973A27">
        <w:rPr>
          <w:rFonts w:ascii="Arial" w:hAnsi="Arial" w:cs="Arial"/>
        </w:rPr>
        <w:t>2018</w:t>
      </w:r>
      <w:r w:rsidR="00332D6C" w:rsidRPr="00973A27">
        <w:rPr>
          <w:rFonts w:ascii="Arial" w:hAnsi="Arial" w:cs="Arial"/>
        </w:rPr>
        <w:t xml:space="preserve"> y 2019</w:t>
      </w:r>
      <w:r w:rsidR="00392505" w:rsidRPr="00973A27">
        <w:rPr>
          <w:rFonts w:ascii="Arial" w:hAnsi="Arial" w:cs="Arial"/>
        </w:rPr>
        <w:t>.</w:t>
      </w:r>
      <w:r w:rsidR="00973A27" w:rsidRPr="00973A27">
        <w:rPr>
          <w:rFonts w:ascii="Arial" w:hAnsi="Arial" w:cs="Arial"/>
        </w:rPr>
        <w:t xml:space="preserve"> </w:t>
      </w:r>
      <w:r w:rsidR="00332D6C" w:rsidRPr="00973A27">
        <w:rPr>
          <w:rFonts w:ascii="Arial" w:hAnsi="Arial" w:cs="Arial"/>
        </w:rPr>
        <w:t xml:space="preserve">En sentido contrario, </w:t>
      </w:r>
      <w:r w:rsidR="00973A27" w:rsidRPr="00973A27">
        <w:rPr>
          <w:rFonts w:ascii="Arial" w:hAnsi="Arial" w:cs="Arial"/>
        </w:rPr>
        <w:t xml:space="preserve">se hace notar el incremento sostenido desde el año 2016 registrado en la retribución de </w:t>
      </w:r>
      <w:r w:rsidR="00332D6C" w:rsidRPr="00973A27">
        <w:rPr>
          <w:rFonts w:ascii="Arial" w:hAnsi="Arial" w:cs="Arial"/>
        </w:rPr>
        <w:t>la planta de Bilbao</w:t>
      </w:r>
      <w:r w:rsidR="00973A27" w:rsidRPr="00973A27">
        <w:rPr>
          <w:rFonts w:ascii="Arial" w:hAnsi="Arial" w:cs="Arial"/>
        </w:rPr>
        <w:t>.</w:t>
      </w:r>
    </w:p>
    <w:p w14:paraId="34950358" w14:textId="77777777" w:rsidR="005B689F" w:rsidRPr="00973A27" w:rsidRDefault="005B689F" w:rsidP="00E212CB">
      <w:pPr>
        <w:widowControl w:val="0"/>
        <w:ind w:left="426" w:hanging="426"/>
        <w:jc w:val="both"/>
        <w:rPr>
          <w:rFonts w:ascii="Arial" w:hAnsi="Arial" w:cs="Arial"/>
          <w:b/>
        </w:rPr>
      </w:pPr>
    </w:p>
    <w:p w14:paraId="53AE2334" w14:textId="2B5248A2" w:rsidR="005B689F" w:rsidRPr="00973A27" w:rsidRDefault="002528B7" w:rsidP="00CD1BD8">
      <w:pPr>
        <w:widowControl w:val="0"/>
        <w:ind w:left="426" w:hanging="426"/>
        <w:jc w:val="center"/>
        <w:rPr>
          <w:rFonts w:ascii="Arial" w:hAnsi="Arial" w:cs="Arial"/>
          <w:b/>
        </w:rPr>
      </w:pPr>
      <w:r w:rsidRPr="002528B7">
        <w:rPr>
          <w:noProof/>
        </w:rPr>
        <w:drawing>
          <wp:inline distT="0" distB="0" distL="0" distR="0" wp14:anchorId="5AEAAE8A" wp14:editId="7F43414C">
            <wp:extent cx="5490210" cy="315341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90210" cy="3153410"/>
                    </a:xfrm>
                    <a:prstGeom prst="rect">
                      <a:avLst/>
                    </a:prstGeom>
                    <a:noFill/>
                    <a:ln>
                      <a:noFill/>
                    </a:ln>
                  </pic:spPr>
                </pic:pic>
              </a:graphicData>
            </a:graphic>
          </wp:inline>
        </w:drawing>
      </w:r>
    </w:p>
    <w:p w14:paraId="5A8972BB" w14:textId="55139E28" w:rsidR="005B689F" w:rsidRPr="002528B7" w:rsidRDefault="005B689F" w:rsidP="005B689F">
      <w:pPr>
        <w:spacing w:before="120"/>
        <w:jc w:val="center"/>
        <w:rPr>
          <w:rFonts w:ascii="Arial" w:hAnsi="Arial" w:cs="Arial"/>
          <w:sz w:val="20"/>
          <w:szCs w:val="20"/>
        </w:rPr>
      </w:pPr>
      <w:r w:rsidRPr="00973A27">
        <w:rPr>
          <w:rFonts w:ascii="Arial" w:hAnsi="Arial" w:cs="Arial"/>
          <w:sz w:val="20"/>
          <w:szCs w:val="20"/>
        </w:rPr>
        <w:t xml:space="preserve">Figura </w:t>
      </w:r>
      <w:r w:rsidR="009E0541">
        <w:rPr>
          <w:rFonts w:ascii="Arial" w:hAnsi="Arial" w:cs="Arial"/>
          <w:sz w:val="20"/>
          <w:szCs w:val="20"/>
        </w:rPr>
        <w:t>11</w:t>
      </w:r>
      <w:r w:rsidRPr="00973A27">
        <w:rPr>
          <w:rFonts w:ascii="Arial" w:hAnsi="Arial" w:cs="Arial"/>
          <w:sz w:val="20"/>
          <w:szCs w:val="20"/>
        </w:rPr>
        <w:t xml:space="preserve">: Evolución de las cantidades a adicionar o disminuir a los titulares de las plantas </w:t>
      </w:r>
      <w:r w:rsidRPr="002528B7">
        <w:rPr>
          <w:rFonts w:ascii="Arial" w:hAnsi="Arial" w:cs="Arial"/>
          <w:sz w:val="20"/>
          <w:szCs w:val="20"/>
        </w:rPr>
        <w:t>de regasificación desde el año 2010</w:t>
      </w:r>
      <w:r w:rsidR="00392505" w:rsidRPr="002528B7">
        <w:rPr>
          <w:rFonts w:ascii="Arial" w:hAnsi="Arial" w:cs="Arial"/>
          <w:sz w:val="20"/>
          <w:szCs w:val="20"/>
        </w:rPr>
        <w:t>.</w:t>
      </w:r>
    </w:p>
    <w:p w14:paraId="66035EE7" w14:textId="77777777" w:rsidR="005B689F" w:rsidRPr="00C33F21" w:rsidRDefault="005B689F" w:rsidP="00E212CB">
      <w:pPr>
        <w:widowControl w:val="0"/>
        <w:ind w:left="426" w:hanging="426"/>
        <w:jc w:val="both"/>
        <w:rPr>
          <w:rFonts w:ascii="Arial" w:hAnsi="Arial" w:cs="Arial"/>
          <w:b/>
        </w:rPr>
      </w:pPr>
    </w:p>
    <w:p w14:paraId="2A5C9E22" w14:textId="32BFEC7A" w:rsidR="00E212CB" w:rsidRPr="00C33F21" w:rsidRDefault="005B689F" w:rsidP="00E212CB">
      <w:pPr>
        <w:widowControl w:val="0"/>
        <w:ind w:left="426" w:hanging="426"/>
        <w:jc w:val="both"/>
        <w:rPr>
          <w:rFonts w:ascii="Arial" w:hAnsi="Arial" w:cs="Arial"/>
          <w:b/>
        </w:rPr>
      </w:pPr>
      <w:r w:rsidRPr="00C33F21">
        <w:rPr>
          <w:rFonts w:ascii="Arial" w:hAnsi="Arial" w:cs="Arial"/>
          <w:b/>
        </w:rPr>
        <w:t>6</w:t>
      </w:r>
      <w:r w:rsidR="00E212CB" w:rsidRPr="00C33F21">
        <w:rPr>
          <w:rFonts w:ascii="Arial" w:hAnsi="Arial" w:cs="Arial"/>
          <w:b/>
        </w:rPr>
        <w:t xml:space="preserve">. Propuesta sobre la modificación de la retribución reconocida de las empresas titulares de </w:t>
      </w:r>
      <w:r w:rsidR="00B05EE2" w:rsidRPr="00C33F21">
        <w:rPr>
          <w:rFonts w:ascii="Arial" w:hAnsi="Arial" w:cs="Arial"/>
          <w:b/>
        </w:rPr>
        <w:t>plantas de regasificación de GNL</w:t>
      </w:r>
      <w:r w:rsidR="00E212CB" w:rsidRPr="00C33F21">
        <w:rPr>
          <w:rFonts w:ascii="Arial" w:hAnsi="Arial" w:cs="Arial"/>
          <w:b/>
        </w:rPr>
        <w:t xml:space="preserve"> derivada de las mermas de 201</w:t>
      </w:r>
      <w:r w:rsidR="00C33F21" w:rsidRPr="00C33F21">
        <w:rPr>
          <w:rFonts w:ascii="Arial" w:hAnsi="Arial" w:cs="Arial"/>
          <w:b/>
        </w:rPr>
        <w:t>9</w:t>
      </w:r>
    </w:p>
    <w:p w14:paraId="3E2B4C81" w14:textId="77777777" w:rsidR="00E212CB" w:rsidRPr="00C33F21" w:rsidRDefault="00E212CB" w:rsidP="00A65300">
      <w:pPr>
        <w:rPr>
          <w:rFonts w:ascii="Arial" w:hAnsi="Arial" w:cs="Arial"/>
        </w:rPr>
      </w:pPr>
    </w:p>
    <w:p w14:paraId="1E22B5A6" w14:textId="473AF2DB" w:rsidR="0088224E" w:rsidRPr="00C33F21" w:rsidRDefault="0088224E" w:rsidP="0088224E">
      <w:pPr>
        <w:jc w:val="both"/>
        <w:rPr>
          <w:rFonts w:ascii="Arial" w:hAnsi="Arial" w:cs="Arial"/>
        </w:rPr>
      </w:pPr>
      <w:r w:rsidRPr="00C33F21">
        <w:rPr>
          <w:rFonts w:ascii="Arial" w:hAnsi="Arial" w:cs="Arial"/>
        </w:rPr>
        <w:t>De conformidad con lo tratado en los epígrafes previos, la retribución de</w:t>
      </w:r>
      <w:r w:rsidR="00077242" w:rsidRPr="00C33F21">
        <w:rPr>
          <w:rFonts w:ascii="Arial" w:hAnsi="Arial" w:cs="Arial"/>
        </w:rPr>
        <w:t xml:space="preserve"> </w:t>
      </w:r>
      <w:r w:rsidRPr="00C33F21">
        <w:rPr>
          <w:rFonts w:ascii="Arial" w:hAnsi="Arial" w:cs="Arial"/>
        </w:rPr>
        <w:t xml:space="preserve">BBG, SAGGAS y REGANOSA deberá incrementarse en </w:t>
      </w:r>
      <w:r w:rsidR="00C33F21" w:rsidRPr="00C33F21">
        <w:rPr>
          <w:rFonts w:ascii="Arial" w:hAnsi="Arial" w:cs="Arial"/>
        </w:rPr>
        <w:t>2</w:t>
      </w:r>
      <w:r w:rsidR="00A12A1E" w:rsidRPr="00C33F21">
        <w:rPr>
          <w:rFonts w:ascii="Arial" w:hAnsi="Arial" w:cs="Arial"/>
        </w:rPr>
        <w:t>.</w:t>
      </w:r>
      <w:r w:rsidR="00C33F21" w:rsidRPr="00C33F21">
        <w:rPr>
          <w:rFonts w:ascii="Arial" w:hAnsi="Arial" w:cs="Arial"/>
        </w:rPr>
        <w:t>757</w:t>
      </w:r>
      <w:r w:rsidR="00A12A1E" w:rsidRPr="00C33F21">
        <w:rPr>
          <w:rFonts w:ascii="Arial" w:hAnsi="Arial" w:cs="Arial"/>
        </w:rPr>
        <w:t>.</w:t>
      </w:r>
      <w:r w:rsidR="00C33F21" w:rsidRPr="00C33F21">
        <w:rPr>
          <w:rFonts w:ascii="Arial" w:hAnsi="Arial" w:cs="Arial"/>
        </w:rPr>
        <w:t>631</w:t>
      </w:r>
      <w:r w:rsidR="00A12A1E" w:rsidRPr="00C33F21">
        <w:rPr>
          <w:rFonts w:ascii="Arial" w:hAnsi="Arial" w:cs="Arial"/>
        </w:rPr>
        <w:t>,</w:t>
      </w:r>
      <w:r w:rsidR="00C33F21" w:rsidRPr="00C33F21">
        <w:rPr>
          <w:rFonts w:ascii="Arial" w:hAnsi="Arial" w:cs="Arial"/>
        </w:rPr>
        <w:t>49</w:t>
      </w:r>
      <w:r w:rsidR="00F97FEC" w:rsidRPr="00C33F21">
        <w:rPr>
          <w:rFonts w:ascii="Arial" w:hAnsi="Arial" w:cs="Arial"/>
        </w:rPr>
        <w:t xml:space="preserve"> €, </w:t>
      </w:r>
      <w:r w:rsidR="00C33F21" w:rsidRPr="00C33F21">
        <w:rPr>
          <w:rFonts w:ascii="Arial" w:hAnsi="Arial" w:cs="Arial"/>
        </w:rPr>
        <w:t>714</w:t>
      </w:r>
      <w:r w:rsidR="00A12A1E" w:rsidRPr="00C33F21">
        <w:rPr>
          <w:rFonts w:ascii="Arial" w:hAnsi="Arial" w:cs="Arial"/>
        </w:rPr>
        <w:t>.</w:t>
      </w:r>
      <w:r w:rsidR="00C33F21" w:rsidRPr="00C33F21">
        <w:rPr>
          <w:rFonts w:ascii="Arial" w:hAnsi="Arial" w:cs="Arial"/>
        </w:rPr>
        <w:t>234</w:t>
      </w:r>
      <w:r w:rsidR="00A12A1E" w:rsidRPr="00C33F21">
        <w:rPr>
          <w:rFonts w:ascii="Arial" w:hAnsi="Arial" w:cs="Arial"/>
        </w:rPr>
        <w:t>,</w:t>
      </w:r>
      <w:r w:rsidR="00C33F21" w:rsidRPr="00C33F21">
        <w:rPr>
          <w:rFonts w:ascii="Arial" w:hAnsi="Arial" w:cs="Arial"/>
        </w:rPr>
        <w:t>10</w:t>
      </w:r>
      <w:r w:rsidRPr="00C33F21">
        <w:rPr>
          <w:rFonts w:ascii="Arial" w:hAnsi="Arial" w:cs="Arial"/>
        </w:rPr>
        <w:t xml:space="preserve"> €</w:t>
      </w:r>
      <w:r w:rsidR="00926AE1" w:rsidRPr="00C33F21">
        <w:rPr>
          <w:rFonts w:ascii="Arial" w:hAnsi="Arial" w:cs="Arial"/>
        </w:rPr>
        <w:t xml:space="preserve"> y</w:t>
      </w:r>
      <w:r w:rsidRPr="00C33F21">
        <w:rPr>
          <w:rFonts w:ascii="Arial" w:hAnsi="Arial" w:cs="Arial"/>
        </w:rPr>
        <w:t xml:space="preserve"> </w:t>
      </w:r>
      <w:r w:rsidR="00C33F21" w:rsidRPr="00C33F21">
        <w:rPr>
          <w:rFonts w:ascii="Arial" w:hAnsi="Arial" w:cs="Arial"/>
        </w:rPr>
        <w:t>2</w:t>
      </w:r>
      <w:r w:rsidR="00DA0FE1" w:rsidRPr="00C33F21">
        <w:rPr>
          <w:rFonts w:ascii="Arial" w:hAnsi="Arial" w:cs="Arial"/>
        </w:rPr>
        <w:t>8</w:t>
      </w:r>
      <w:r w:rsidR="00C33F21" w:rsidRPr="00C33F21">
        <w:rPr>
          <w:rFonts w:ascii="Arial" w:hAnsi="Arial" w:cs="Arial"/>
        </w:rPr>
        <w:t>5</w:t>
      </w:r>
      <w:r w:rsidR="00A12A1E" w:rsidRPr="00C33F21">
        <w:rPr>
          <w:rFonts w:ascii="Arial" w:hAnsi="Arial" w:cs="Arial"/>
        </w:rPr>
        <w:t>.</w:t>
      </w:r>
      <w:r w:rsidR="00C33F21" w:rsidRPr="00C33F21">
        <w:rPr>
          <w:rFonts w:ascii="Arial" w:hAnsi="Arial" w:cs="Arial"/>
        </w:rPr>
        <w:t>835</w:t>
      </w:r>
      <w:r w:rsidR="00A12A1E" w:rsidRPr="00C33F21">
        <w:rPr>
          <w:rFonts w:ascii="Arial" w:hAnsi="Arial" w:cs="Arial"/>
        </w:rPr>
        <w:t>,</w:t>
      </w:r>
      <w:r w:rsidR="00DA0FE1" w:rsidRPr="00C33F21">
        <w:rPr>
          <w:rFonts w:ascii="Arial" w:hAnsi="Arial" w:cs="Arial"/>
        </w:rPr>
        <w:t>3</w:t>
      </w:r>
      <w:r w:rsidR="00C33F21" w:rsidRPr="00C33F21">
        <w:rPr>
          <w:rFonts w:ascii="Arial" w:hAnsi="Arial" w:cs="Arial"/>
        </w:rPr>
        <w:t>0</w:t>
      </w:r>
      <w:r w:rsidRPr="00C33F21">
        <w:rPr>
          <w:rFonts w:ascii="Arial" w:hAnsi="Arial" w:cs="Arial"/>
        </w:rPr>
        <w:t xml:space="preserve"> €</w:t>
      </w:r>
      <w:r w:rsidR="00077242" w:rsidRPr="00C33F21">
        <w:rPr>
          <w:rFonts w:ascii="Arial" w:hAnsi="Arial" w:cs="Arial"/>
        </w:rPr>
        <w:t>,</w:t>
      </w:r>
      <w:r w:rsidRPr="00C33F21">
        <w:rPr>
          <w:rFonts w:ascii="Arial" w:hAnsi="Arial" w:cs="Arial"/>
        </w:rPr>
        <w:t xml:space="preserve"> respectivamente. </w:t>
      </w:r>
      <w:r w:rsidR="00926AE1" w:rsidRPr="00C33F21">
        <w:rPr>
          <w:rFonts w:ascii="Arial" w:hAnsi="Arial" w:cs="Arial"/>
        </w:rPr>
        <w:t xml:space="preserve">Asimismo, la retribución de Enagás deberá </w:t>
      </w:r>
      <w:r w:rsidR="00077242" w:rsidRPr="00C33F21">
        <w:rPr>
          <w:rFonts w:ascii="Arial" w:hAnsi="Arial" w:cs="Arial"/>
        </w:rPr>
        <w:t>incrementarse</w:t>
      </w:r>
      <w:r w:rsidR="00294950" w:rsidRPr="00C33F21">
        <w:rPr>
          <w:rFonts w:ascii="Arial" w:hAnsi="Arial" w:cs="Arial"/>
        </w:rPr>
        <w:t xml:space="preserve"> </w:t>
      </w:r>
      <w:r w:rsidR="00077242" w:rsidRPr="00C33F21">
        <w:rPr>
          <w:rFonts w:ascii="Arial" w:hAnsi="Arial" w:cs="Arial"/>
        </w:rPr>
        <w:t xml:space="preserve">en </w:t>
      </w:r>
      <w:r w:rsidR="00294950" w:rsidRPr="00C33F21">
        <w:rPr>
          <w:rFonts w:ascii="Arial" w:hAnsi="Arial" w:cs="Arial"/>
        </w:rPr>
        <w:t>1.</w:t>
      </w:r>
      <w:r w:rsidR="00C33F21" w:rsidRPr="00C33F21">
        <w:rPr>
          <w:rFonts w:ascii="Arial" w:hAnsi="Arial" w:cs="Arial"/>
        </w:rPr>
        <w:t>0</w:t>
      </w:r>
      <w:r w:rsidR="00DA0FE1" w:rsidRPr="00C33F21">
        <w:rPr>
          <w:rFonts w:ascii="Arial" w:hAnsi="Arial" w:cs="Arial"/>
        </w:rPr>
        <w:t>3</w:t>
      </w:r>
      <w:r w:rsidR="00C33F21" w:rsidRPr="00C33F21">
        <w:rPr>
          <w:rFonts w:ascii="Arial" w:hAnsi="Arial" w:cs="Arial"/>
        </w:rPr>
        <w:t>8</w:t>
      </w:r>
      <w:r w:rsidR="00DA0FE1" w:rsidRPr="00C33F21">
        <w:rPr>
          <w:rFonts w:ascii="Arial" w:hAnsi="Arial" w:cs="Arial"/>
        </w:rPr>
        <w:t>.</w:t>
      </w:r>
      <w:r w:rsidR="00324B97" w:rsidRPr="00C33F21">
        <w:rPr>
          <w:rFonts w:ascii="Arial" w:hAnsi="Arial" w:cs="Arial"/>
        </w:rPr>
        <w:t>9</w:t>
      </w:r>
      <w:r w:rsidR="00C33F21" w:rsidRPr="00C33F21">
        <w:rPr>
          <w:rFonts w:ascii="Arial" w:hAnsi="Arial" w:cs="Arial"/>
        </w:rPr>
        <w:t>22</w:t>
      </w:r>
      <w:r w:rsidR="00294950" w:rsidRPr="00C33F21">
        <w:rPr>
          <w:rFonts w:ascii="Arial" w:hAnsi="Arial" w:cs="Arial"/>
        </w:rPr>
        <w:t>,</w:t>
      </w:r>
      <w:r w:rsidR="00C33F21" w:rsidRPr="00C33F21">
        <w:rPr>
          <w:rFonts w:ascii="Arial" w:hAnsi="Arial" w:cs="Arial"/>
        </w:rPr>
        <w:t>58</w:t>
      </w:r>
      <w:r w:rsidR="00926AE1" w:rsidRPr="00C33F21">
        <w:rPr>
          <w:rFonts w:ascii="Arial" w:hAnsi="Arial" w:cs="Arial"/>
        </w:rPr>
        <w:t xml:space="preserve"> €</w:t>
      </w:r>
      <w:r w:rsidR="00294950" w:rsidRPr="00C33F21">
        <w:rPr>
          <w:rFonts w:ascii="Arial" w:hAnsi="Arial" w:cs="Arial"/>
        </w:rPr>
        <w:t xml:space="preserve">, teniendo en cuenta las tres plantas, </w:t>
      </w:r>
      <w:r w:rsidR="00123B87" w:rsidRPr="00C33F21">
        <w:rPr>
          <w:rFonts w:ascii="Arial" w:hAnsi="Arial" w:cs="Arial"/>
        </w:rPr>
        <w:t xml:space="preserve">cifra </w:t>
      </w:r>
      <w:r w:rsidR="00DA0FE1" w:rsidRPr="00C33F21">
        <w:rPr>
          <w:rFonts w:ascii="Arial" w:hAnsi="Arial" w:cs="Arial"/>
        </w:rPr>
        <w:t xml:space="preserve">que se desglosa en </w:t>
      </w:r>
      <w:r w:rsidR="00C33F21" w:rsidRPr="00C33F21">
        <w:rPr>
          <w:rFonts w:ascii="Arial" w:hAnsi="Arial" w:cs="Arial"/>
        </w:rPr>
        <w:t>266</w:t>
      </w:r>
      <w:r w:rsidR="00DA0FE1" w:rsidRPr="00C33F21">
        <w:rPr>
          <w:rFonts w:ascii="Arial" w:hAnsi="Arial" w:cs="Arial"/>
        </w:rPr>
        <w:t>.</w:t>
      </w:r>
      <w:r w:rsidR="00324B97" w:rsidRPr="00C33F21">
        <w:rPr>
          <w:rFonts w:ascii="Arial" w:hAnsi="Arial" w:cs="Arial"/>
        </w:rPr>
        <w:t>4</w:t>
      </w:r>
      <w:r w:rsidR="00C33F21" w:rsidRPr="00C33F21">
        <w:rPr>
          <w:rFonts w:ascii="Arial" w:hAnsi="Arial" w:cs="Arial"/>
        </w:rPr>
        <w:t>18</w:t>
      </w:r>
      <w:r w:rsidR="00DA0FE1" w:rsidRPr="00C33F21">
        <w:rPr>
          <w:rFonts w:ascii="Arial" w:hAnsi="Arial" w:cs="Arial"/>
        </w:rPr>
        <w:t>,</w:t>
      </w:r>
      <w:r w:rsidR="00C33F21" w:rsidRPr="00C33F21">
        <w:rPr>
          <w:rFonts w:ascii="Arial" w:hAnsi="Arial" w:cs="Arial"/>
        </w:rPr>
        <w:t>62</w:t>
      </w:r>
      <w:r w:rsidR="00DA0FE1" w:rsidRPr="00C33F21">
        <w:rPr>
          <w:rFonts w:ascii="Arial" w:hAnsi="Arial" w:cs="Arial"/>
        </w:rPr>
        <w:t xml:space="preserve"> €</w:t>
      </w:r>
      <w:r w:rsidR="00123B87" w:rsidRPr="00C33F21">
        <w:rPr>
          <w:rFonts w:ascii="Arial" w:hAnsi="Arial" w:cs="Arial"/>
        </w:rPr>
        <w:t xml:space="preserve"> en la planta de Barcelona</w:t>
      </w:r>
      <w:r w:rsidR="00DA0FE1" w:rsidRPr="00C33F21">
        <w:rPr>
          <w:rFonts w:ascii="Arial" w:hAnsi="Arial" w:cs="Arial"/>
        </w:rPr>
        <w:t xml:space="preserve">, </w:t>
      </w:r>
      <w:r w:rsidR="00C33F21" w:rsidRPr="00C33F21">
        <w:rPr>
          <w:rFonts w:ascii="Arial" w:hAnsi="Arial" w:cs="Arial"/>
        </w:rPr>
        <w:t>315</w:t>
      </w:r>
      <w:r w:rsidR="00DA0FE1" w:rsidRPr="00C33F21">
        <w:rPr>
          <w:rFonts w:ascii="Arial" w:hAnsi="Arial" w:cs="Arial"/>
        </w:rPr>
        <w:t>.</w:t>
      </w:r>
      <w:r w:rsidR="00C33F21" w:rsidRPr="00C33F21">
        <w:rPr>
          <w:rFonts w:ascii="Arial" w:hAnsi="Arial" w:cs="Arial"/>
        </w:rPr>
        <w:t>116</w:t>
      </w:r>
      <w:r w:rsidR="00DA0FE1" w:rsidRPr="00C33F21">
        <w:rPr>
          <w:rFonts w:ascii="Arial" w:hAnsi="Arial" w:cs="Arial"/>
        </w:rPr>
        <w:t>,</w:t>
      </w:r>
      <w:r w:rsidR="00C33F21" w:rsidRPr="00C33F21">
        <w:rPr>
          <w:rFonts w:ascii="Arial" w:hAnsi="Arial" w:cs="Arial"/>
        </w:rPr>
        <w:t>31</w:t>
      </w:r>
      <w:r w:rsidR="00DA0FE1" w:rsidRPr="00C33F21">
        <w:rPr>
          <w:rFonts w:ascii="Arial" w:hAnsi="Arial" w:cs="Arial"/>
        </w:rPr>
        <w:t xml:space="preserve"> € </w:t>
      </w:r>
      <w:r w:rsidR="00123B87" w:rsidRPr="00C33F21">
        <w:rPr>
          <w:rFonts w:ascii="Arial" w:hAnsi="Arial" w:cs="Arial"/>
        </w:rPr>
        <w:t xml:space="preserve">en la planta de Cartagena </w:t>
      </w:r>
      <w:r w:rsidR="00DA0FE1" w:rsidRPr="00C33F21">
        <w:rPr>
          <w:rFonts w:ascii="Arial" w:hAnsi="Arial" w:cs="Arial"/>
        </w:rPr>
        <w:t xml:space="preserve">y </w:t>
      </w:r>
      <w:r w:rsidR="00C33F21" w:rsidRPr="00C33F21">
        <w:rPr>
          <w:rFonts w:ascii="Arial" w:hAnsi="Arial" w:cs="Arial"/>
        </w:rPr>
        <w:t>457</w:t>
      </w:r>
      <w:r w:rsidR="00DA0FE1" w:rsidRPr="00C33F21">
        <w:rPr>
          <w:rFonts w:ascii="Arial" w:hAnsi="Arial" w:cs="Arial"/>
        </w:rPr>
        <w:t>.</w:t>
      </w:r>
      <w:r w:rsidR="00C33F21" w:rsidRPr="00C33F21">
        <w:rPr>
          <w:rFonts w:ascii="Arial" w:hAnsi="Arial" w:cs="Arial"/>
        </w:rPr>
        <w:t>387</w:t>
      </w:r>
      <w:r w:rsidR="00DA0FE1" w:rsidRPr="00C33F21">
        <w:rPr>
          <w:rFonts w:ascii="Arial" w:hAnsi="Arial" w:cs="Arial"/>
        </w:rPr>
        <w:t>,6</w:t>
      </w:r>
      <w:r w:rsidR="00C33F21" w:rsidRPr="00C33F21">
        <w:rPr>
          <w:rFonts w:ascii="Arial" w:hAnsi="Arial" w:cs="Arial"/>
        </w:rPr>
        <w:t>5</w:t>
      </w:r>
      <w:r w:rsidR="00DA0FE1" w:rsidRPr="00C33F21">
        <w:rPr>
          <w:rFonts w:ascii="Arial" w:hAnsi="Arial" w:cs="Arial"/>
        </w:rPr>
        <w:t xml:space="preserve"> €</w:t>
      </w:r>
      <w:r w:rsidR="00294950" w:rsidRPr="00C33F21">
        <w:rPr>
          <w:rFonts w:ascii="Arial" w:hAnsi="Arial" w:cs="Arial"/>
        </w:rPr>
        <w:t xml:space="preserve"> </w:t>
      </w:r>
      <w:r w:rsidR="00123B87" w:rsidRPr="00C33F21">
        <w:rPr>
          <w:rFonts w:ascii="Arial" w:hAnsi="Arial" w:cs="Arial"/>
        </w:rPr>
        <w:t>en la planta de Huelva.</w:t>
      </w:r>
      <w:r w:rsidR="00926AE1" w:rsidRPr="00C33F21">
        <w:rPr>
          <w:rFonts w:ascii="Arial" w:hAnsi="Arial" w:cs="Arial"/>
        </w:rPr>
        <w:t xml:space="preserve"> </w:t>
      </w:r>
      <w:r w:rsidRPr="00C33F21">
        <w:rPr>
          <w:rFonts w:ascii="Arial" w:hAnsi="Arial" w:cs="Arial"/>
        </w:rPr>
        <w:t>Las cantidades resultantes serán adicionadas a las retribuciones reconocidas a los titulares de la planta en el año en curso, aplicándose en la primera liquidación disponible como un pago único.</w:t>
      </w:r>
    </w:p>
    <w:p w14:paraId="349F7167" w14:textId="77777777" w:rsidR="0088224E" w:rsidRPr="00C33F21" w:rsidRDefault="0088224E" w:rsidP="0088224E">
      <w:pPr>
        <w:jc w:val="both"/>
        <w:rPr>
          <w:rFonts w:ascii="Arial" w:hAnsi="Arial" w:cs="Arial"/>
        </w:rPr>
      </w:pPr>
    </w:p>
    <w:p w14:paraId="63CE5CEC" w14:textId="097476B8" w:rsidR="00E212CB" w:rsidRPr="00C33F21" w:rsidRDefault="0088224E" w:rsidP="0088224E">
      <w:pPr>
        <w:jc w:val="both"/>
        <w:rPr>
          <w:rFonts w:ascii="Arial" w:hAnsi="Arial" w:cs="Arial"/>
        </w:rPr>
      </w:pPr>
      <w:r w:rsidRPr="00C33F21">
        <w:rPr>
          <w:rFonts w:ascii="Arial" w:hAnsi="Arial" w:cs="Arial"/>
        </w:rPr>
        <w:t xml:space="preserve">Conforme a lo anterior, se propone al Ministerio el reconocimiento, mediante </w:t>
      </w:r>
      <w:r w:rsidR="00851A49">
        <w:rPr>
          <w:rFonts w:ascii="Arial" w:hAnsi="Arial" w:cs="Arial"/>
        </w:rPr>
        <w:t>r</w:t>
      </w:r>
      <w:r w:rsidRPr="00C33F21">
        <w:rPr>
          <w:rFonts w:ascii="Arial" w:hAnsi="Arial" w:cs="Arial"/>
        </w:rPr>
        <w:t>esolución, de dicha retribución incremental como pago único a los titulares de las mencionadas plantas de regasificación. En este sentido, se recuerda la necesidad de dar trámite de audiencia a los interesados con carácter previo a la aprobación de los importes.</w:t>
      </w:r>
    </w:p>
    <w:p w14:paraId="7ECFC823" w14:textId="77777777" w:rsidR="00A936AE" w:rsidRPr="005568A6" w:rsidRDefault="00A936AE" w:rsidP="00A65300">
      <w:pPr>
        <w:rPr>
          <w:rFonts w:ascii="Arial" w:hAnsi="Arial" w:cs="Arial"/>
        </w:rPr>
      </w:pPr>
    </w:p>
    <w:p w14:paraId="043DD0F8" w14:textId="77777777" w:rsidR="005568A6" w:rsidRPr="005568A6" w:rsidRDefault="005568A6">
      <w:pPr>
        <w:rPr>
          <w:rFonts w:ascii="Arial" w:hAnsi="Arial" w:cs="Arial"/>
        </w:rPr>
      </w:pPr>
      <w:r w:rsidRPr="005568A6">
        <w:rPr>
          <w:rFonts w:ascii="Arial" w:hAnsi="Arial" w:cs="Arial"/>
        </w:rPr>
        <w:br w:type="page"/>
      </w:r>
    </w:p>
    <w:p w14:paraId="52865D16" w14:textId="77777777" w:rsidR="00E212CB" w:rsidRPr="005568A6" w:rsidRDefault="00E212CB" w:rsidP="00E212CB">
      <w:pPr>
        <w:jc w:val="both"/>
        <w:rPr>
          <w:rFonts w:ascii="Arial" w:hAnsi="Arial" w:cs="Arial"/>
        </w:rPr>
      </w:pPr>
      <w:r w:rsidRPr="005568A6">
        <w:rPr>
          <w:rFonts w:ascii="Arial" w:hAnsi="Arial" w:cs="Arial"/>
        </w:rPr>
        <w:t>Por todo cuanto antecede, la Sala de Supervisión Regulatoria,</w:t>
      </w:r>
    </w:p>
    <w:p w14:paraId="07ADE82B" w14:textId="77777777" w:rsidR="00E212CB" w:rsidRPr="005D6AEC" w:rsidRDefault="00E212CB" w:rsidP="00E212CB">
      <w:pPr>
        <w:jc w:val="both"/>
        <w:rPr>
          <w:rFonts w:ascii="Arial" w:hAnsi="Arial" w:cs="Arial"/>
        </w:rPr>
      </w:pPr>
    </w:p>
    <w:p w14:paraId="35B05E90" w14:textId="77777777" w:rsidR="00E212CB" w:rsidRPr="005D6AEC" w:rsidRDefault="00E212CB" w:rsidP="00E212CB">
      <w:pPr>
        <w:jc w:val="center"/>
        <w:rPr>
          <w:rFonts w:ascii="Arial" w:hAnsi="Arial" w:cs="Arial"/>
          <w:b/>
        </w:rPr>
      </w:pPr>
      <w:r w:rsidRPr="005D6AEC">
        <w:rPr>
          <w:rFonts w:ascii="Arial" w:hAnsi="Arial" w:cs="Arial"/>
          <w:b/>
        </w:rPr>
        <w:t>RESUELVE</w:t>
      </w:r>
    </w:p>
    <w:p w14:paraId="4A2882D8" w14:textId="77777777" w:rsidR="00E212CB" w:rsidRPr="005D6AEC" w:rsidRDefault="00E212CB" w:rsidP="00E212CB">
      <w:pPr>
        <w:jc w:val="both"/>
        <w:rPr>
          <w:rFonts w:ascii="Arial" w:hAnsi="Arial" w:cs="Arial"/>
        </w:rPr>
      </w:pPr>
    </w:p>
    <w:p w14:paraId="0F306BB8" w14:textId="6636FDBE" w:rsidR="00E212CB" w:rsidRPr="005D6AEC" w:rsidRDefault="00E212CB" w:rsidP="00E212CB">
      <w:pPr>
        <w:jc w:val="both"/>
        <w:rPr>
          <w:rFonts w:ascii="Arial" w:hAnsi="Arial" w:cs="Arial"/>
        </w:rPr>
      </w:pPr>
      <w:proofErr w:type="gramStart"/>
      <w:r w:rsidRPr="005D6AEC">
        <w:rPr>
          <w:rFonts w:ascii="Arial" w:hAnsi="Arial" w:cs="Arial"/>
          <w:b/>
        </w:rPr>
        <w:t>Primero.-</w:t>
      </w:r>
      <w:proofErr w:type="gramEnd"/>
      <w:r w:rsidRPr="005D6AEC">
        <w:rPr>
          <w:rFonts w:ascii="Arial" w:hAnsi="Arial" w:cs="Arial"/>
          <w:b/>
        </w:rPr>
        <w:t xml:space="preserve"> </w:t>
      </w:r>
      <w:r w:rsidRPr="005D6AEC">
        <w:rPr>
          <w:rFonts w:ascii="Arial" w:hAnsi="Arial" w:cs="Arial"/>
        </w:rPr>
        <w:t xml:space="preserve">Aprobar la valoración del saldo de mermas en las </w:t>
      </w:r>
      <w:r w:rsidR="0088224E" w:rsidRPr="005D6AEC">
        <w:rPr>
          <w:rFonts w:ascii="Arial" w:hAnsi="Arial" w:cs="Arial"/>
        </w:rPr>
        <w:t>plantas de regasificación</w:t>
      </w:r>
      <w:r w:rsidRPr="005D6AEC">
        <w:rPr>
          <w:rFonts w:ascii="Arial" w:hAnsi="Arial" w:cs="Arial"/>
        </w:rPr>
        <w:t xml:space="preserve"> y el procedimiento para el abono o cargo de la retribución adicional correspondiente, en los términos señalados en el apartado 4.</w:t>
      </w:r>
      <w:r w:rsidR="0088224E" w:rsidRPr="005D6AEC">
        <w:rPr>
          <w:rFonts w:ascii="Arial" w:hAnsi="Arial" w:cs="Arial"/>
        </w:rPr>
        <w:t>6</w:t>
      </w:r>
      <w:r w:rsidRPr="005D6AEC">
        <w:rPr>
          <w:rFonts w:ascii="Arial" w:hAnsi="Arial" w:cs="Arial"/>
        </w:rPr>
        <w:t xml:space="preserve"> de la presente </w:t>
      </w:r>
      <w:r w:rsidR="00851A49">
        <w:rPr>
          <w:rFonts w:ascii="Arial" w:hAnsi="Arial" w:cs="Arial"/>
        </w:rPr>
        <w:t>r</w:t>
      </w:r>
      <w:r w:rsidRPr="005D6AEC">
        <w:rPr>
          <w:rFonts w:ascii="Arial" w:hAnsi="Arial" w:cs="Arial"/>
        </w:rPr>
        <w:t>esolución.</w:t>
      </w:r>
    </w:p>
    <w:p w14:paraId="4FA11DC0" w14:textId="77777777" w:rsidR="00E212CB" w:rsidRPr="005D6AEC" w:rsidRDefault="00E212CB" w:rsidP="00E212CB">
      <w:pPr>
        <w:jc w:val="both"/>
        <w:rPr>
          <w:rFonts w:ascii="Arial" w:hAnsi="Arial" w:cs="Arial"/>
        </w:rPr>
      </w:pPr>
    </w:p>
    <w:p w14:paraId="72FF3985" w14:textId="39E1ECFB" w:rsidR="00E212CB" w:rsidRPr="00C33F21" w:rsidRDefault="00E212CB" w:rsidP="00E212CB">
      <w:pPr>
        <w:jc w:val="both"/>
        <w:rPr>
          <w:rFonts w:ascii="Arial" w:hAnsi="Arial" w:cs="Arial"/>
        </w:rPr>
      </w:pPr>
      <w:proofErr w:type="gramStart"/>
      <w:r w:rsidRPr="005D6AEC">
        <w:rPr>
          <w:rFonts w:ascii="Arial" w:hAnsi="Arial" w:cs="Arial"/>
          <w:b/>
        </w:rPr>
        <w:t>Segundo.-</w:t>
      </w:r>
      <w:proofErr w:type="gramEnd"/>
      <w:r w:rsidRPr="005D6AEC">
        <w:rPr>
          <w:rFonts w:ascii="Arial" w:hAnsi="Arial" w:cs="Arial"/>
        </w:rPr>
        <w:t xml:space="preserve"> Proponer la modificación a la retribución reconocida de </w:t>
      </w:r>
      <w:r w:rsidR="0088224E" w:rsidRPr="005D6AEC">
        <w:rPr>
          <w:rFonts w:ascii="Arial" w:hAnsi="Arial" w:cs="Arial"/>
        </w:rPr>
        <w:t>los</w:t>
      </w:r>
      <w:r w:rsidRPr="005D6AEC">
        <w:rPr>
          <w:rFonts w:ascii="Arial" w:hAnsi="Arial" w:cs="Arial"/>
        </w:rPr>
        <w:t xml:space="preserve"> titulares </w:t>
      </w:r>
      <w:r w:rsidR="0088224E" w:rsidRPr="005D6AEC">
        <w:rPr>
          <w:rFonts w:ascii="Arial" w:hAnsi="Arial" w:cs="Arial"/>
        </w:rPr>
        <w:t>de plantas de regasificación de GNL</w:t>
      </w:r>
      <w:r w:rsidRPr="005D6AEC">
        <w:rPr>
          <w:rFonts w:ascii="Arial" w:hAnsi="Arial" w:cs="Arial"/>
        </w:rPr>
        <w:t xml:space="preserve"> derivada de las mermas de 201</w:t>
      </w:r>
      <w:r w:rsidR="00797A35">
        <w:rPr>
          <w:rFonts w:ascii="Arial" w:hAnsi="Arial" w:cs="Arial"/>
        </w:rPr>
        <w:t>9</w:t>
      </w:r>
      <w:r w:rsidRPr="005D6AEC">
        <w:rPr>
          <w:rFonts w:ascii="Arial" w:hAnsi="Arial" w:cs="Arial"/>
        </w:rPr>
        <w:t xml:space="preserve"> en los términos </w:t>
      </w:r>
      <w:r w:rsidRPr="00C33F21">
        <w:rPr>
          <w:rFonts w:ascii="Arial" w:hAnsi="Arial" w:cs="Arial"/>
        </w:rPr>
        <w:t xml:space="preserve">indicados en el apartado </w:t>
      </w:r>
      <w:r w:rsidR="0019034E" w:rsidRPr="00C33F21">
        <w:rPr>
          <w:rFonts w:ascii="Arial" w:hAnsi="Arial" w:cs="Arial"/>
        </w:rPr>
        <w:t>6</w:t>
      </w:r>
      <w:r w:rsidRPr="00C33F21">
        <w:rPr>
          <w:rFonts w:ascii="Arial" w:hAnsi="Arial" w:cs="Arial"/>
        </w:rPr>
        <w:t xml:space="preserve"> de la presente </w:t>
      </w:r>
      <w:r w:rsidR="00851A49">
        <w:rPr>
          <w:rFonts w:ascii="Arial" w:hAnsi="Arial" w:cs="Arial"/>
        </w:rPr>
        <w:t>r</w:t>
      </w:r>
      <w:r w:rsidRPr="00C33F21">
        <w:rPr>
          <w:rFonts w:ascii="Arial" w:hAnsi="Arial" w:cs="Arial"/>
        </w:rPr>
        <w:t>esolución.</w:t>
      </w:r>
    </w:p>
    <w:p w14:paraId="444E9D4D" w14:textId="77777777" w:rsidR="00E212CB" w:rsidRPr="005D6AEC" w:rsidRDefault="00E212CB" w:rsidP="00E212CB">
      <w:pPr>
        <w:jc w:val="both"/>
        <w:rPr>
          <w:rFonts w:ascii="Arial" w:hAnsi="Arial" w:cs="Arial"/>
        </w:rPr>
      </w:pPr>
    </w:p>
    <w:p w14:paraId="6B4E67FB" w14:textId="140DC773" w:rsidR="00406A97" w:rsidRDefault="008C1526" w:rsidP="00406A97">
      <w:pPr>
        <w:jc w:val="both"/>
        <w:rPr>
          <w:rFonts w:ascii="Arial" w:hAnsi="Arial" w:cs="Arial"/>
        </w:rPr>
      </w:pPr>
      <w:bookmarkStart w:id="10" w:name="_Hlk54772111"/>
      <w:proofErr w:type="gramStart"/>
      <w:r w:rsidRPr="00982620">
        <w:rPr>
          <w:rFonts w:ascii="Arial" w:hAnsi="Arial" w:cs="Arial"/>
          <w:b/>
          <w:bCs/>
        </w:rPr>
        <w:t>Tercero.-</w:t>
      </w:r>
      <w:proofErr w:type="gramEnd"/>
      <w:r>
        <w:rPr>
          <w:rFonts w:ascii="Arial" w:hAnsi="Arial" w:cs="Arial"/>
          <w:b/>
          <w:bCs/>
        </w:rPr>
        <w:t xml:space="preserve"> </w:t>
      </w:r>
      <w:bookmarkStart w:id="11" w:name="_Hlk54771363"/>
      <w:r w:rsidR="00265D36" w:rsidRPr="006309BD">
        <w:rPr>
          <w:rFonts w:ascii="Arial" w:hAnsi="Arial" w:cs="Arial"/>
          <w:bCs/>
        </w:rPr>
        <w:t>Proponer</w:t>
      </w:r>
      <w:r w:rsidR="00265D36">
        <w:rPr>
          <w:rFonts w:ascii="Arial" w:hAnsi="Arial" w:cs="Arial"/>
          <w:bCs/>
        </w:rPr>
        <w:t xml:space="preserve"> al Ministerio para la Transición Ecológica y el Reto Demográfico que </w:t>
      </w:r>
      <w:r w:rsidR="00265D36">
        <w:rPr>
          <w:rFonts w:ascii="Arial" w:hAnsi="Arial" w:cs="Arial"/>
        </w:rPr>
        <w:t>a</w:t>
      </w:r>
      <w:r w:rsidR="00406A97">
        <w:rPr>
          <w:rFonts w:ascii="Arial" w:hAnsi="Arial" w:cs="Arial"/>
        </w:rPr>
        <w:t>nal</w:t>
      </w:r>
      <w:r w:rsidR="00265D36">
        <w:rPr>
          <w:rFonts w:ascii="Arial" w:hAnsi="Arial" w:cs="Arial"/>
        </w:rPr>
        <w:t>ice</w:t>
      </w:r>
      <w:r w:rsidR="00406A97" w:rsidRPr="00D84899">
        <w:rPr>
          <w:rFonts w:ascii="Arial" w:hAnsi="Arial" w:cs="Arial"/>
        </w:rPr>
        <w:t xml:space="preserve"> la </w:t>
      </w:r>
      <w:r w:rsidR="00406A97" w:rsidRPr="007B6B2B">
        <w:rPr>
          <w:rFonts w:ascii="Arial" w:hAnsi="Arial" w:cs="Arial"/>
        </w:rPr>
        <w:t>co</w:t>
      </w:r>
      <w:r w:rsidR="00406A97" w:rsidRPr="00D84899">
        <w:rPr>
          <w:rFonts w:ascii="Arial" w:hAnsi="Arial" w:cs="Arial"/>
        </w:rPr>
        <w:t xml:space="preserve">nveniencia </w:t>
      </w:r>
      <w:r w:rsidR="00406A97">
        <w:rPr>
          <w:rFonts w:ascii="Arial" w:hAnsi="Arial" w:cs="Arial"/>
        </w:rPr>
        <w:t>de incrementar la frecuencia de las verificaciones metrológicas de las instalaciones gasistas, así como establecer protocolos de medición del gas que circula por las instalaciones coherentes entre las diferentes infraestructuras conectadas entre sí, como son las plantas de regasificación y las redes de transporte.</w:t>
      </w:r>
    </w:p>
    <w:p w14:paraId="39F7FDF9" w14:textId="77777777" w:rsidR="00406A97" w:rsidRDefault="00406A97" w:rsidP="00406A97">
      <w:pPr>
        <w:jc w:val="both"/>
        <w:rPr>
          <w:rFonts w:ascii="Arial" w:hAnsi="Arial" w:cs="Arial"/>
        </w:rPr>
      </w:pPr>
    </w:p>
    <w:p w14:paraId="79D7019C" w14:textId="77777777" w:rsidR="00406A97" w:rsidRPr="00EC3259" w:rsidRDefault="00406A97" w:rsidP="00406A97">
      <w:pPr>
        <w:jc w:val="both"/>
        <w:rPr>
          <w:rFonts w:ascii="Arial" w:hAnsi="Arial" w:cs="Arial"/>
          <w:b/>
          <w:bCs/>
        </w:rPr>
      </w:pPr>
      <w:proofErr w:type="gramStart"/>
      <w:r w:rsidRPr="00F238F9">
        <w:rPr>
          <w:rFonts w:ascii="Arial" w:hAnsi="Arial" w:cs="Arial"/>
          <w:b/>
          <w:bCs/>
        </w:rPr>
        <w:t>Cuarto.-</w:t>
      </w:r>
      <w:proofErr w:type="gramEnd"/>
      <w:r>
        <w:rPr>
          <w:rFonts w:ascii="Arial" w:hAnsi="Arial" w:cs="Arial"/>
        </w:rPr>
        <w:t xml:space="preserve"> Supervisar la evolución de las mermas en el tramo de gasoducto </w:t>
      </w:r>
      <w:proofErr w:type="spellStart"/>
      <w:r>
        <w:rPr>
          <w:rFonts w:ascii="Arial" w:hAnsi="Arial" w:cs="Arial"/>
        </w:rPr>
        <w:t>Treto</w:t>
      </w:r>
      <w:proofErr w:type="spellEnd"/>
      <w:r>
        <w:rPr>
          <w:rFonts w:ascii="Arial" w:hAnsi="Arial" w:cs="Arial"/>
        </w:rPr>
        <w:t>-Bilbao-</w:t>
      </w:r>
      <w:proofErr w:type="spellStart"/>
      <w:r>
        <w:rPr>
          <w:rFonts w:ascii="Arial" w:hAnsi="Arial" w:cs="Arial"/>
        </w:rPr>
        <w:t>Arrigoriaga</w:t>
      </w:r>
      <w:proofErr w:type="spellEnd"/>
      <w:r>
        <w:rPr>
          <w:rFonts w:ascii="Arial" w:hAnsi="Arial" w:cs="Arial"/>
        </w:rPr>
        <w:t>, solicitando a los operadores de las instalaciones gasistas situadas en las posiciones de entrada y salida de gas del tramo de gasoducto las actas de las tres últimas verificaciones de las unidades de medida correspondientes a dichas posiciones y de las verificaciones y comprobaciones que se produzcan en los próximos meses.</w:t>
      </w:r>
    </w:p>
    <w:bookmarkEnd w:id="10"/>
    <w:bookmarkEnd w:id="11"/>
    <w:p w14:paraId="62FDDCAF" w14:textId="77777777" w:rsidR="00F67E07" w:rsidRDefault="00F67E07" w:rsidP="00E212CB">
      <w:pPr>
        <w:jc w:val="both"/>
        <w:rPr>
          <w:rFonts w:ascii="Arial" w:hAnsi="Arial" w:cs="Arial"/>
          <w:b/>
        </w:rPr>
      </w:pPr>
    </w:p>
    <w:p w14:paraId="16F561BA" w14:textId="308EEC8B" w:rsidR="00E212CB" w:rsidRPr="005D6AEC" w:rsidRDefault="00F67E07" w:rsidP="00E212CB">
      <w:pPr>
        <w:jc w:val="both"/>
        <w:rPr>
          <w:rFonts w:ascii="Arial" w:hAnsi="Arial" w:cs="Arial"/>
        </w:rPr>
      </w:pPr>
      <w:proofErr w:type="gramStart"/>
      <w:r>
        <w:rPr>
          <w:rFonts w:ascii="Arial" w:hAnsi="Arial" w:cs="Arial"/>
          <w:b/>
        </w:rPr>
        <w:t>Cuarto</w:t>
      </w:r>
      <w:r w:rsidR="00E212CB" w:rsidRPr="005D6AEC">
        <w:rPr>
          <w:rFonts w:ascii="Arial" w:hAnsi="Arial" w:cs="Arial"/>
          <w:b/>
        </w:rPr>
        <w:t>.-</w:t>
      </w:r>
      <w:proofErr w:type="gramEnd"/>
      <w:r w:rsidR="00E212CB" w:rsidRPr="005D6AEC">
        <w:rPr>
          <w:rFonts w:ascii="Arial" w:hAnsi="Arial" w:cs="Arial"/>
        </w:rPr>
        <w:t xml:space="preserve"> Dar traslado de la presente </w:t>
      </w:r>
      <w:r w:rsidR="00851A49">
        <w:rPr>
          <w:rFonts w:ascii="Arial" w:hAnsi="Arial" w:cs="Arial"/>
        </w:rPr>
        <w:t>r</w:t>
      </w:r>
      <w:r w:rsidR="00E212CB" w:rsidRPr="005D6AEC">
        <w:rPr>
          <w:rFonts w:ascii="Arial" w:hAnsi="Arial" w:cs="Arial"/>
        </w:rPr>
        <w:t>esolución a la Secretaría de Estado de Energía.</w:t>
      </w:r>
    </w:p>
    <w:p w14:paraId="5EB2CC5F" w14:textId="77777777" w:rsidR="00D067FA" w:rsidRDefault="00D067FA">
      <w:pPr>
        <w:rPr>
          <w:rFonts w:ascii="Arial" w:hAnsi="Arial" w:cs="Arial"/>
        </w:rPr>
      </w:pPr>
    </w:p>
    <w:p w14:paraId="0C57545F" w14:textId="77777777" w:rsidR="00D067FA" w:rsidRDefault="00D067FA">
      <w:pPr>
        <w:rPr>
          <w:rFonts w:ascii="Arial" w:hAnsi="Arial" w:cs="Arial"/>
        </w:rPr>
      </w:pPr>
    </w:p>
    <w:p w14:paraId="0D4C7DA8" w14:textId="77777777" w:rsidR="00D067FA" w:rsidRDefault="00D067FA">
      <w:pPr>
        <w:rPr>
          <w:rFonts w:ascii="Arial" w:hAnsi="Arial" w:cs="Arial"/>
        </w:rPr>
      </w:pPr>
    </w:p>
    <w:p w14:paraId="4A7D51E6" w14:textId="77777777" w:rsidR="00D067FA" w:rsidRDefault="00D067FA">
      <w:pPr>
        <w:rPr>
          <w:rFonts w:ascii="Arial" w:hAnsi="Arial" w:cs="Arial"/>
        </w:rPr>
      </w:pPr>
    </w:p>
    <w:p w14:paraId="44BBC36A" w14:textId="77777777" w:rsidR="00D067FA" w:rsidRDefault="00D067FA">
      <w:pPr>
        <w:rPr>
          <w:rFonts w:ascii="Arial" w:hAnsi="Arial" w:cs="Arial"/>
        </w:rPr>
      </w:pPr>
    </w:p>
    <w:p w14:paraId="724491B2" w14:textId="77777777" w:rsidR="00D067FA" w:rsidRDefault="00D067FA">
      <w:pPr>
        <w:rPr>
          <w:rFonts w:ascii="Arial" w:hAnsi="Arial" w:cs="Arial"/>
        </w:rPr>
      </w:pPr>
    </w:p>
    <w:p w14:paraId="4B9651D9" w14:textId="77777777" w:rsidR="00D067FA" w:rsidRDefault="00D067FA">
      <w:pPr>
        <w:rPr>
          <w:rFonts w:ascii="Arial" w:hAnsi="Arial" w:cs="Arial"/>
        </w:rPr>
      </w:pPr>
    </w:p>
    <w:p w14:paraId="60CED928" w14:textId="77777777" w:rsidR="00D067FA" w:rsidRDefault="00D067FA">
      <w:pPr>
        <w:rPr>
          <w:rFonts w:ascii="Arial" w:hAnsi="Arial" w:cs="Arial"/>
        </w:rPr>
      </w:pPr>
    </w:p>
    <w:p w14:paraId="7A6DBFE0" w14:textId="77777777" w:rsidR="00D067FA" w:rsidRDefault="00D067FA">
      <w:pPr>
        <w:rPr>
          <w:rFonts w:ascii="Arial" w:hAnsi="Arial" w:cs="Arial"/>
        </w:rPr>
      </w:pPr>
    </w:p>
    <w:p w14:paraId="5F66E73D" w14:textId="614C67CD" w:rsidR="00D067FA" w:rsidRDefault="006309BD" w:rsidP="006309BD">
      <w:pPr>
        <w:jc w:val="both"/>
        <w:rPr>
          <w:rFonts w:ascii="Arial" w:hAnsi="Arial" w:cs="Arial"/>
        </w:rPr>
      </w:pPr>
      <w:r w:rsidRPr="00A9394C">
        <w:rPr>
          <w:rFonts w:ascii="Arial" w:hAnsi="Arial" w:cs="Arial"/>
          <w:b/>
          <w:i/>
        </w:rPr>
        <w:t xml:space="preserve">El presente documento está firmado electrónicamente por </w:t>
      </w:r>
      <w:r w:rsidRPr="006C6CB6">
        <w:rPr>
          <w:rFonts w:ascii="Arial" w:hAnsi="Arial" w:cs="Arial"/>
          <w:b/>
          <w:i/>
        </w:rPr>
        <w:t>Joaquim Hortalà i Vallvé</w:t>
      </w:r>
      <w:r w:rsidRPr="00A9394C">
        <w:rPr>
          <w:rFonts w:ascii="Arial" w:hAnsi="Arial" w:cs="Arial"/>
          <w:b/>
          <w:i/>
        </w:rPr>
        <w:t xml:space="preserve">, </w:t>
      </w:r>
      <w:r>
        <w:rPr>
          <w:rFonts w:ascii="Arial" w:hAnsi="Arial" w:cs="Arial"/>
          <w:b/>
          <w:i/>
        </w:rPr>
        <w:t>S</w:t>
      </w:r>
      <w:r w:rsidRPr="00A9394C">
        <w:rPr>
          <w:rFonts w:ascii="Arial" w:hAnsi="Arial" w:cs="Arial"/>
          <w:b/>
          <w:i/>
        </w:rPr>
        <w:t>ecretario del Consejo</w:t>
      </w:r>
      <w:r>
        <w:rPr>
          <w:rFonts w:ascii="Arial" w:hAnsi="Arial" w:cs="Arial"/>
          <w:b/>
          <w:i/>
        </w:rPr>
        <w:t>,</w:t>
      </w:r>
      <w:r w:rsidRPr="00A9394C">
        <w:rPr>
          <w:rFonts w:ascii="Arial" w:hAnsi="Arial" w:cs="Arial"/>
          <w:b/>
          <w:i/>
        </w:rPr>
        <w:t xml:space="preserve"> con el Visto Bueno de</w:t>
      </w:r>
      <w:r>
        <w:rPr>
          <w:rFonts w:ascii="Arial" w:hAnsi="Arial" w:cs="Arial"/>
          <w:b/>
          <w:i/>
        </w:rPr>
        <w:t xml:space="preserve">l </w:t>
      </w:r>
      <w:r w:rsidRPr="00A9394C">
        <w:rPr>
          <w:rFonts w:ascii="Arial" w:hAnsi="Arial" w:cs="Arial"/>
          <w:b/>
          <w:i/>
        </w:rPr>
        <w:t>President</w:t>
      </w:r>
      <w:r>
        <w:rPr>
          <w:rFonts w:ascii="Arial" w:hAnsi="Arial" w:cs="Arial"/>
          <w:b/>
          <w:i/>
        </w:rPr>
        <w:t>e</w:t>
      </w:r>
      <w:r w:rsidRPr="00A9394C">
        <w:rPr>
          <w:rFonts w:ascii="Arial" w:hAnsi="Arial" w:cs="Arial"/>
          <w:b/>
          <w:i/>
        </w:rPr>
        <w:t xml:space="preserve"> de la Sala, </w:t>
      </w:r>
      <w:r>
        <w:rPr>
          <w:rFonts w:ascii="Arial" w:hAnsi="Arial" w:cs="Arial"/>
          <w:b/>
          <w:i/>
        </w:rPr>
        <w:t xml:space="preserve">Ángel Torres </w:t>
      </w:r>
      <w:proofErr w:type="spellStart"/>
      <w:r>
        <w:rPr>
          <w:rFonts w:ascii="Arial" w:hAnsi="Arial" w:cs="Arial"/>
          <w:b/>
          <w:i/>
        </w:rPr>
        <w:t>Torres</w:t>
      </w:r>
      <w:proofErr w:type="spellEnd"/>
      <w:r>
        <w:rPr>
          <w:rFonts w:ascii="Arial" w:hAnsi="Arial" w:cs="Arial"/>
          <w:b/>
          <w:i/>
        </w:rPr>
        <w:t>.</w:t>
      </w:r>
    </w:p>
    <w:p w14:paraId="4B76484A" w14:textId="77777777" w:rsidR="00E212CB" w:rsidRPr="0018473B" w:rsidRDefault="00E212CB" w:rsidP="00D067FA">
      <w:pPr>
        <w:jc w:val="both"/>
        <w:rPr>
          <w:rFonts w:ascii="Arial" w:hAnsi="Arial"/>
        </w:rPr>
      </w:pPr>
      <w:bookmarkStart w:id="12" w:name="_GoBack"/>
      <w:bookmarkEnd w:id="12"/>
    </w:p>
    <w:p w14:paraId="13C01820" w14:textId="77777777" w:rsidR="00E212CB" w:rsidRPr="0018473B" w:rsidRDefault="00E212CB" w:rsidP="00E212CB">
      <w:pPr>
        <w:jc w:val="both"/>
        <w:rPr>
          <w:rFonts w:ascii="Arial" w:hAnsi="Arial" w:cs="Arial"/>
        </w:rPr>
      </w:pPr>
    </w:p>
    <w:p w14:paraId="4B6A43EA" w14:textId="77777777" w:rsidR="00E212CB" w:rsidRPr="0018473B" w:rsidRDefault="00E212CB" w:rsidP="00E212CB">
      <w:pPr>
        <w:jc w:val="both"/>
        <w:rPr>
          <w:rFonts w:ascii="Arial" w:hAnsi="Arial" w:cs="Arial"/>
          <w:sz w:val="22"/>
          <w:szCs w:val="22"/>
        </w:rPr>
      </w:pPr>
    </w:p>
    <w:p w14:paraId="46BC3C01" w14:textId="77777777" w:rsidR="00E212CB" w:rsidRPr="0018473B" w:rsidRDefault="00E212CB" w:rsidP="00E212CB">
      <w:pPr>
        <w:jc w:val="both"/>
        <w:rPr>
          <w:rFonts w:ascii="Arial" w:hAnsi="Arial" w:cs="Arial"/>
          <w:sz w:val="22"/>
          <w:szCs w:val="22"/>
        </w:rPr>
      </w:pPr>
    </w:p>
    <w:p w14:paraId="3E56BD97" w14:textId="77777777" w:rsidR="00E212CB" w:rsidRPr="0018473B" w:rsidRDefault="00E212CB" w:rsidP="00E212CB">
      <w:pPr>
        <w:jc w:val="both"/>
        <w:rPr>
          <w:rFonts w:ascii="Arial" w:hAnsi="Arial" w:cs="Arial"/>
          <w:sz w:val="22"/>
          <w:szCs w:val="22"/>
        </w:rPr>
      </w:pPr>
    </w:p>
    <w:p w14:paraId="20B431C9" w14:textId="77777777" w:rsidR="00E212CB" w:rsidRPr="0018473B" w:rsidRDefault="00E212CB" w:rsidP="00E212CB">
      <w:pPr>
        <w:spacing w:before="240"/>
        <w:ind w:right="157"/>
        <w:jc w:val="center"/>
        <w:rPr>
          <w:rFonts w:ascii="Arial" w:hAnsi="Arial" w:cs="Arial"/>
          <w:b/>
        </w:rPr>
      </w:pPr>
    </w:p>
    <w:p w14:paraId="3BE69D06" w14:textId="77777777" w:rsidR="00E212CB" w:rsidRDefault="00E212CB" w:rsidP="00E212CB">
      <w:pPr>
        <w:spacing w:before="240"/>
        <w:ind w:right="157"/>
        <w:jc w:val="center"/>
        <w:rPr>
          <w:rFonts w:ascii="Arial" w:hAnsi="Arial" w:cs="Arial"/>
          <w:b/>
        </w:rPr>
      </w:pPr>
    </w:p>
    <w:p w14:paraId="1922C114" w14:textId="77777777" w:rsidR="00D067FA" w:rsidRDefault="00D067FA" w:rsidP="00E212CB">
      <w:pPr>
        <w:spacing w:before="240"/>
        <w:ind w:right="157"/>
        <w:jc w:val="center"/>
        <w:rPr>
          <w:rFonts w:ascii="Arial" w:hAnsi="Arial" w:cs="Arial"/>
          <w:b/>
        </w:rPr>
      </w:pPr>
    </w:p>
    <w:p w14:paraId="6555E432" w14:textId="77777777" w:rsidR="00D067FA" w:rsidRDefault="00D067FA" w:rsidP="00E212CB">
      <w:pPr>
        <w:spacing w:before="240"/>
        <w:ind w:right="157"/>
        <w:jc w:val="center"/>
        <w:rPr>
          <w:rFonts w:ascii="Arial" w:hAnsi="Arial" w:cs="Arial"/>
          <w:b/>
        </w:rPr>
      </w:pPr>
    </w:p>
    <w:p w14:paraId="2B203A64" w14:textId="77777777" w:rsidR="00D067FA" w:rsidRDefault="00D067FA" w:rsidP="00E212CB">
      <w:pPr>
        <w:spacing w:before="240"/>
        <w:ind w:right="157"/>
        <w:jc w:val="center"/>
        <w:rPr>
          <w:rFonts w:ascii="Arial" w:hAnsi="Arial" w:cs="Arial"/>
          <w:b/>
        </w:rPr>
      </w:pPr>
    </w:p>
    <w:p w14:paraId="0E6CDB35" w14:textId="77777777" w:rsidR="00D067FA" w:rsidRDefault="00D067FA" w:rsidP="00E212CB">
      <w:pPr>
        <w:spacing w:before="240"/>
        <w:ind w:right="157"/>
        <w:jc w:val="center"/>
        <w:rPr>
          <w:rFonts w:ascii="Arial" w:hAnsi="Arial" w:cs="Arial"/>
          <w:b/>
        </w:rPr>
      </w:pPr>
    </w:p>
    <w:p w14:paraId="012241AC" w14:textId="77777777" w:rsidR="00D067FA" w:rsidRDefault="00D067FA" w:rsidP="00E212CB">
      <w:pPr>
        <w:spacing w:before="240"/>
        <w:ind w:right="157"/>
        <w:jc w:val="center"/>
        <w:rPr>
          <w:rFonts w:ascii="Arial" w:hAnsi="Arial" w:cs="Arial"/>
          <w:b/>
        </w:rPr>
      </w:pPr>
    </w:p>
    <w:p w14:paraId="1A3E068E" w14:textId="77777777" w:rsidR="00D067FA" w:rsidRDefault="00D067FA" w:rsidP="00E212CB">
      <w:pPr>
        <w:spacing w:before="240"/>
        <w:ind w:right="157"/>
        <w:jc w:val="center"/>
        <w:rPr>
          <w:rFonts w:ascii="Arial" w:hAnsi="Arial" w:cs="Arial"/>
          <w:b/>
        </w:rPr>
      </w:pPr>
    </w:p>
    <w:p w14:paraId="588E295D" w14:textId="77777777" w:rsidR="00D067FA" w:rsidRDefault="00D067FA" w:rsidP="00E212CB">
      <w:pPr>
        <w:spacing w:before="240"/>
        <w:ind w:right="157"/>
        <w:jc w:val="center"/>
        <w:rPr>
          <w:rFonts w:ascii="Arial" w:hAnsi="Arial" w:cs="Arial"/>
          <w:b/>
        </w:rPr>
      </w:pPr>
    </w:p>
    <w:p w14:paraId="60D5A778" w14:textId="77777777" w:rsidR="00D067FA" w:rsidRDefault="00D067FA" w:rsidP="00E212CB">
      <w:pPr>
        <w:spacing w:before="240"/>
        <w:ind w:right="157"/>
        <w:jc w:val="center"/>
        <w:rPr>
          <w:rFonts w:ascii="Arial" w:hAnsi="Arial" w:cs="Arial"/>
          <w:b/>
        </w:rPr>
      </w:pPr>
    </w:p>
    <w:p w14:paraId="7F867E1B" w14:textId="77777777" w:rsidR="00D067FA" w:rsidRPr="0018473B" w:rsidRDefault="00D067FA" w:rsidP="00E212CB">
      <w:pPr>
        <w:spacing w:before="240"/>
        <w:ind w:right="157"/>
        <w:jc w:val="center"/>
        <w:rPr>
          <w:rFonts w:ascii="Arial" w:hAnsi="Arial" w:cs="Arial"/>
          <w:b/>
        </w:rPr>
      </w:pPr>
    </w:p>
    <w:p w14:paraId="65A0D801" w14:textId="77777777" w:rsidR="00E212CB" w:rsidRPr="0018473B" w:rsidRDefault="00E212CB" w:rsidP="00E212CB">
      <w:pPr>
        <w:spacing w:before="240"/>
        <w:ind w:right="157"/>
        <w:jc w:val="center"/>
        <w:rPr>
          <w:rFonts w:ascii="Arial" w:hAnsi="Arial" w:cs="Arial"/>
          <w:b/>
        </w:rPr>
      </w:pPr>
    </w:p>
    <w:p w14:paraId="668B847D" w14:textId="77777777" w:rsidR="00E212CB" w:rsidRPr="0018473B" w:rsidRDefault="00E212CB" w:rsidP="00E212CB">
      <w:pPr>
        <w:spacing w:before="240"/>
        <w:ind w:right="157"/>
        <w:jc w:val="center"/>
        <w:rPr>
          <w:rFonts w:ascii="Arial" w:hAnsi="Arial" w:cs="Arial"/>
          <w:b/>
        </w:rPr>
      </w:pPr>
    </w:p>
    <w:p w14:paraId="11669F5B" w14:textId="77777777" w:rsidR="00E212CB" w:rsidRPr="0018473B" w:rsidRDefault="00E212CB" w:rsidP="00E212CB">
      <w:pPr>
        <w:spacing w:before="240"/>
        <w:ind w:right="157"/>
        <w:jc w:val="center"/>
        <w:rPr>
          <w:rFonts w:ascii="Arial" w:hAnsi="Arial" w:cs="Arial"/>
          <w:b/>
        </w:rPr>
      </w:pPr>
    </w:p>
    <w:p w14:paraId="28FC27C6" w14:textId="77777777" w:rsidR="00E212CB" w:rsidRPr="0018473B" w:rsidRDefault="00E212CB" w:rsidP="00E212CB">
      <w:pPr>
        <w:spacing w:before="240"/>
        <w:ind w:right="157"/>
        <w:jc w:val="center"/>
        <w:rPr>
          <w:rFonts w:ascii="Arial" w:hAnsi="Arial" w:cs="Arial"/>
          <w:b/>
          <w:sz w:val="48"/>
          <w:szCs w:val="48"/>
        </w:rPr>
      </w:pPr>
      <w:r w:rsidRPr="0018473B">
        <w:rPr>
          <w:rFonts w:ascii="Arial" w:hAnsi="Arial" w:cs="Arial"/>
          <w:b/>
          <w:sz w:val="48"/>
          <w:szCs w:val="48"/>
        </w:rPr>
        <w:t>ANEXO I</w:t>
      </w:r>
    </w:p>
    <w:p w14:paraId="6C8E95DE" w14:textId="77777777" w:rsidR="00E212CB" w:rsidRPr="0018473B" w:rsidRDefault="00E212CB" w:rsidP="00E212CB">
      <w:pPr>
        <w:spacing w:before="240"/>
        <w:ind w:right="157"/>
        <w:jc w:val="center"/>
        <w:rPr>
          <w:rFonts w:ascii="Arial" w:hAnsi="Arial" w:cs="Arial"/>
          <w:b/>
          <w:sz w:val="48"/>
          <w:szCs w:val="48"/>
        </w:rPr>
      </w:pPr>
    </w:p>
    <w:p w14:paraId="351855AB" w14:textId="654038AA" w:rsidR="00E212CB" w:rsidRPr="0018473B" w:rsidRDefault="00E212CB" w:rsidP="00E212CB">
      <w:pPr>
        <w:spacing w:before="240"/>
        <w:ind w:right="157"/>
        <w:jc w:val="center"/>
        <w:rPr>
          <w:rFonts w:ascii="Arial" w:hAnsi="Arial" w:cs="Arial"/>
          <w:b/>
          <w:sz w:val="48"/>
          <w:szCs w:val="48"/>
        </w:rPr>
      </w:pPr>
      <w:r w:rsidRPr="0018473B">
        <w:rPr>
          <w:rFonts w:ascii="Arial" w:hAnsi="Arial" w:cs="Arial"/>
          <w:b/>
          <w:sz w:val="48"/>
          <w:szCs w:val="48"/>
        </w:rPr>
        <w:t>INFORME</w:t>
      </w:r>
      <w:r w:rsidR="006D515E">
        <w:rPr>
          <w:rFonts w:ascii="Arial" w:hAnsi="Arial" w:cs="Arial"/>
          <w:b/>
          <w:sz w:val="48"/>
          <w:szCs w:val="48"/>
        </w:rPr>
        <w:t>S</w:t>
      </w:r>
      <w:r w:rsidRPr="0018473B">
        <w:rPr>
          <w:rFonts w:ascii="Arial" w:hAnsi="Arial" w:cs="Arial"/>
          <w:b/>
          <w:sz w:val="48"/>
          <w:szCs w:val="48"/>
        </w:rPr>
        <w:t xml:space="preserve"> DE SUPERVISIÓN DE MERMAS EN </w:t>
      </w:r>
      <w:r w:rsidR="0088224E" w:rsidRPr="0018473B">
        <w:rPr>
          <w:rFonts w:ascii="Arial" w:hAnsi="Arial" w:cs="Arial"/>
          <w:b/>
          <w:sz w:val="48"/>
          <w:szCs w:val="48"/>
        </w:rPr>
        <w:t>PLANTAS DE REGASIFICACIÓN</w:t>
      </w:r>
      <w:r w:rsidRPr="0018473B">
        <w:rPr>
          <w:rFonts w:ascii="Arial" w:hAnsi="Arial" w:cs="Arial"/>
          <w:b/>
          <w:sz w:val="48"/>
          <w:szCs w:val="48"/>
        </w:rPr>
        <w:t xml:space="preserve"> 201</w:t>
      </w:r>
      <w:r w:rsidR="002528B7">
        <w:rPr>
          <w:rFonts w:ascii="Arial" w:hAnsi="Arial" w:cs="Arial"/>
          <w:b/>
          <w:sz w:val="48"/>
          <w:szCs w:val="48"/>
        </w:rPr>
        <w:t>9</w:t>
      </w:r>
      <w:r w:rsidRPr="0018473B">
        <w:rPr>
          <w:rFonts w:ascii="Arial" w:hAnsi="Arial" w:cs="Arial"/>
          <w:b/>
          <w:sz w:val="48"/>
          <w:szCs w:val="48"/>
        </w:rPr>
        <w:t xml:space="preserve"> REALIZADO</w:t>
      </w:r>
      <w:r w:rsidR="009E0541">
        <w:rPr>
          <w:rFonts w:ascii="Arial" w:hAnsi="Arial" w:cs="Arial"/>
          <w:b/>
          <w:sz w:val="48"/>
          <w:szCs w:val="48"/>
        </w:rPr>
        <w:t>S</w:t>
      </w:r>
      <w:r w:rsidRPr="0018473B">
        <w:rPr>
          <w:rFonts w:ascii="Arial" w:hAnsi="Arial" w:cs="Arial"/>
          <w:b/>
          <w:sz w:val="48"/>
          <w:szCs w:val="48"/>
        </w:rPr>
        <w:t xml:space="preserve"> POR EL GESTOR TÉCNICO DEL SISTEMA </w:t>
      </w:r>
    </w:p>
    <w:sectPr w:rsidR="00E212CB" w:rsidRPr="0018473B" w:rsidSect="00786E84">
      <w:headerReference w:type="default" r:id="rId16"/>
      <w:footerReference w:type="default" r:id="rId17"/>
      <w:pgSz w:w="11906" w:h="16838" w:code="9"/>
      <w:pgMar w:top="2268" w:right="1559" w:bottom="1134" w:left="1701"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CF916" w14:textId="77777777" w:rsidR="007359B5" w:rsidRDefault="007359B5">
      <w:r>
        <w:separator/>
      </w:r>
    </w:p>
  </w:endnote>
  <w:endnote w:type="continuationSeparator" w:id="0">
    <w:p w14:paraId="79722853" w14:textId="77777777" w:rsidR="007359B5" w:rsidRDefault="0073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LTStd">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D3B9" w14:textId="0CBB9353" w:rsidR="00960A3B" w:rsidRPr="00DD13DD" w:rsidRDefault="00960A3B" w:rsidP="00A46DDE">
    <w:pPr>
      <w:pStyle w:val="Piedepgina"/>
      <w:tabs>
        <w:tab w:val="clear" w:pos="4252"/>
        <w:tab w:val="clear" w:pos="8504"/>
        <w:tab w:val="center" w:pos="4253"/>
        <w:tab w:val="right" w:pos="8647"/>
      </w:tabs>
      <w:jc w:val="both"/>
      <w:rPr>
        <w:rFonts w:ascii="Arial" w:hAnsi="Arial" w:cs="Arial"/>
        <w:i/>
        <w:sz w:val="14"/>
        <w:szCs w:val="14"/>
      </w:rPr>
    </w:pPr>
    <w:r>
      <w:rPr>
        <w:rFonts w:ascii="Arial" w:hAnsi="Arial" w:cs="Arial"/>
        <w:noProof/>
      </w:rPr>
      <mc:AlternateContent>
        <mc:Choice Requires="wps">
          <w:drawing>
            <wp:anchor distT="4294967294" distB="4294967294" distL="114300" distR="114300" simplePos="0" relativeHeight="251658240" behindDoc="0" locked="0" layoutInCell="1" allowOverlap="1" wp14:anchorId="7BF6790A" wp14:editId="398E6746">
              <wp:simplePos x="0" y="0"/>
              <wp:positionH relativeFrom="column">
                <wp:posOffset>-3810</wp:posOffset>
              </wp:positionH>
              <wp:positionV relativeFrom="paragraph">
                <wp:posOffset>-57786</wp:posOffset>
              </wp:positionV>
              <wp:extent cx="5505450" cy="0"/>
              <wp:effectExtent l="0" t="0" r="19050" b="1905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05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B11F01" id="Conector recto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4.55pt" to="433.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" strokecolor="windowText" strokeweight=".5pt">
              <v:stroke joinstyle="miter"/>
              <o:lock v:ext="edit" shapetype="f"/>
            </v:line>
          </w:pict>
        </mc:Fallback>
      </mc:AlternateContent>
    </w:r>
    <w:r>
      <w:rPr>
        <w:rFonts w:ascii="Arial" w:hAnsi="Arial" w:cs="Arial"/>
        <w:sz w:val="14"/>
        <w:szCs w:val="14"/>
      </w:rPr>
      <w:t>INF/DE/0</w:t>
    </w:r>
    <w:r w:rsidR="00797A35">
      <w:rPr>
        <w:rFonts w:ascii="Arial" w:hAnsi="Arial" w:cs="Arial"/>
        <w:sz w:val="14"/>
        <w:szCs w:val="14"/>
      </w:rPr>
      <w:t>34</w:t>
    </w:r>
    <w:r>
      <w:rPr>
        <w:rFonts w:ascii="Arial" w:hAnsi="Arial" w:cs="Arial"/>
        <w:sz w:val="14"/>
        <w:szCs w:val="14"/>
      </w:rPr>
      <w:t>/</w:t>
    </w:r>
    <w:r w:rsidR="00797A35">
      <w:rPr>
        <w:rFonts w:ascii="Arial" w:hAnsi="Arial" w:cs="Arial"/>
        <w:sz w:val="14"/>
        <w:szCs w:val="14"/>
      </w:rPr>
      <w:t>20</w:t>
    </w:r>
    <w:r w:rsidRPr="00DD13DD">
      <w:rPr>
        <w:rFonts w:ascii="Arial" w:hAnsi="Arial" w:cs="Arial"/>
        <w:sz w:val="14"/>
        <w:szCs w:val="14"/>
      </w:rPr>
      <w:tab/>
      <w:t>Comisión Nacional de los Mercados y la Competencia</w:t>
    </w:r>
    <w:r w:rsidRPr="00DD13DD">
      <w:rPr>
        <w:rFonts w:ascii="Arial" w:hAnsi="Arial" w:cs="Arial"/>
        <w:sz w:val="14"/>
        <w:szCs w:val="14"/>
      </w:rPr>
      <w:tab/>
      <w:t xml:space="preserve">Página </w:t>
    </w:r>
    <w:r w:rsidRPr="00DD13DD">
      <w:rPr>
        <w:rFonts w:ascii="Arial" w:hAnsi="Arial" w:cs="Arial"/>
        <w:bCs/>
        <w:sz w:val="14"/>
        <w:szCs w:val="14"/>
      </w:rPr>
      <w:fldChar w:fldCharType="begin"/>
    </w:r>
    <w:r w:rsidRPr="00DD13DD">
      <w:rPr>
        <w:rFonts w:ascii="Arial" w:hAnsi="Arial" w:cs="Arial"/>
        <w:bCs/>
        <w:sz w:val="14"/>
        <w:szCs w:val="14"/>
      </w:rPr>
      <w:instrText>PAGE</w:instrText>
    </w:r>
    <w:r w:rsidRPr="00DD13DD">
      <w:rPr>
        <w:rFonts w:ascii="Arial" w:hAnsi="Arial" w:cs="Arial"/>
        <w:bCs/>
        <w:sz w:val="14"/>
        <w:szCs w:val="14"/>
      </w:rPr>
      <w:fldChar w:fldCharType="separate"/>
    </w:r>
    <w:r w:rsidR="006309BD">
      <w:rPr>
        <w:rFonts w:ascii="Arial" w:hAnsi="Arial" w:cs="Arial"/>
        <w:bCs/>
        <w:noProof/>
        <w:sz w:val="14"/>
        <w:szCs w:val="14"/>
      </w:rPr>
      <w:t>21</w:t>
    </w:r>
    <w:r w:rsidRPr="00DD13DD">
      <w:rPr>
        <w:rFonts w:ascii="Arial" w:hAnsi="Arial" w:cs="Arial"/>
        <w:bCs/>
        <w:sz w:val="14"/>
        <w:szCs w:val="14"/>
      </w:rPr>
      <w:fldChar w:fldCharType="end"/>
    </w:r>
    <w:r w:rsidRPr="00DD13DD">
      <w:rPr>
        <w:rFonts w:ascii="Arial" w:hAnsi="Arial" w:cs="Arial"/>
        <w:sz w:val="14"/>
        <w:szCs w:val="14"/>
      </w:rPr>
      <w:t xml:space="preserve"> de </w:t>
    </w:r>
    <w:r w:rsidRPr="00DD13DD">
      <w:rPr>
        <w:rFonts w:ascii="Arial" w:hAnsi="Arial" w:cs="Arial"/>
        <w:bCs/>
        <w:sz w:val="14"/>
        <w:szCs w:val="14"/>
      </w:rPr>
      <w:fldChar w:fldCharType="begin"/>
    </w:r>
    <w:r w:rsidRPr="00DD13DD">
      <w:rPr>
        <w:rFonts w:ascii="Arial" w:hAnsi="Arial" w:cs="Arial"/>
        <w:bCs/>
        <w:sz w:val="14"/>
        <w:szCs w:val="14"/>
      </w:rPr>
      <w:instrText>NUMPAGES</w:instrText>
    </w:r>
    <w:r w:rsidRPr="00DD13DD">
      <w:rPr>
        <w:rFonts w:ascii="Arial" w:hAnsi="Arial" w:cs="Arial"/>
        <w:bCs/>
        <w:sz w:val="14"/>
        <w:szCs w:val="14"/>
      </w:rPr>
      <w:fldChar w:fldCharType="separate"/>
    </w:r>
    <w:r w:rsidR="006309BD">
      <w:rPr>
        <w:rFonts w:ascii="Arial" w:hAnsi="Arial" w:cs="Arial"/>
        <w:bCs/>
        <w:noProof/>
        <w:sz w:val="14"/>
        <w:szCs w:val="14"/>
      </w:rPr>
      <w:t>21</w:t>
    </w:r>
    <w:r w:rsidRPr="00DD13DD">
      <w:rPr>
        <w:rFonts w:ascii="Arial" w:hAnsi="Arial" w:cs="Arial"/>
        <w:bCs/>
        <w:sz w:val="14"/>
        <w:szCs w:val="14"/>
      </w:rPr>
      <w:fldChar w:fldCharType="end"/>
    </w:r>
  </w:p>
  <w:p w14:paraId="017A25E5" w14:textId="1BC88AAB" w:rsidR="00960A3B" w:rsidRPr="00DD13DD" w:rsidRDefault="00960A3B" w:rsidP="00A46DDE">
    <w:pPr>
      <w:pStyle w:val="Piedepgina"/>
      <w:tabs>
        <w:tab w:val="clear" w:pos="4252"/>
        <w:tab w:val="clear" w:pos="8504"/>
        <w:tab w:val="center" w:pos="4253"/>
        <w:tab w:val="right" w:pos="9072"/>
      </w:tabs>
      <w:ind w:right="709"/>
      <w:rPr>
        <w:rFonts w:ascii="Arial" w:hAnsi="Arial" w:cs="Arial"/>
        <w:i/>
        <w:sz w:val="14"/>
        <w:szCs w:val="14"/>
      </w:rPr>
    </w:pPr>
    <w:r w:rsidRPr="00DD13DD">
      <w:rPr>
        <w:rFonts w:ascii="Arial" w:hAnsi="Arial" w:cs="Arial"/>
        <w:sz w:val="14"/>
        <w:szCs w:val="14"/>
      </w:rPr>
      <w:tab/>
      <w:t>C/Barquillo, 5 – 28014 Madrid - C/Bolivia, 56 – 08018 Barcelona</w:t>
    </w:r>
    <w:r w:rsidRPr="00DD13DD">
      <w:rPr>
        <w:rFonts w:ascii="Arial" w:hAnsi="Arial" w:cs="Arial"/>
        <w:sz w:val="14"/>
        <w:szCs w:val="14"/>
      </w:rPr>
      <w:tab/>
    </w:r>
  </w:p>
  <w:p w14:paraId="460C72D2" w14:textId="77777777" w:rsidR="00960A3B" w:rsidRPr="00A46DDE" w:rsidRDefault="00960A3B" w:rsidP="00A46DDE">
    <w:pPr>
      <w:pStyle w:val="Piedepgina"/>
      <w:jc w:val="both"/>
      <w:rPr>
        <w:rFonts w:ascii="Arial" w:hAnsi="Arial" w:cs="Arial"/>
      </w:rPr>
    </w:pPr>
    <w:r w:rsidRPr="00DD13DD">
      <w:rPr>
        <w:rFonts w:ascii="Arial" w:hAnsi="Arial" w:cs="Arial"/>
        <w:sz w:val="14"/>
        <w:szCs w:val="14"/>
      </w:rPr>
      <w:tab/>
    </w:r>
    <w:hyperlink r:id="rId1" w:history="1">
      <w:r w:rsidRPr="00DD13DD">
        <w:rPr>
          <w:rStyle w:val="Hipervnculo"/>
          <w:rFonts w:cs="Arial"/>
          <w:sz w:val="14"/>
          <w:szCs w:val="14"/>
        </w:rPr>
        <w:t>www.cnmc.es</w:t>
      </w:r>
    </w:hyperlink>
    <w:r w:rsidRPr="00DD13DD">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F908" w14:textId="77777777" w:rsidR="007359B5" w:rsidRDefault="007359B5">
      <w:r>
        <w:separator/>
      </w:r>
    </w:p>
  </w:footnote>
  <w:footnote w:type="continuationSeparator" w:id="0">
    <w:p w14:paraId="65B85020" w14:textId="77777777" w:rsidR="007359B5" w:rsidRDefault="007359B5">
      <w:r>
        <w:continuationSeparator/>
      </w:r>
    </w:p>
  </w:footnote>
  <w:footnote w:id="1">
    <w:p w14:paraId="271CBEF9" w14:textId="77777777" w:rsidR="00960A3B" w:rsidRPr="00260E03" w:rsidRDefault="00960A3B" w:rsidP="00260E03">
      <w:pPr>
        <w:pStyle w:val="Textonotapie"/>
        <w:spacing w:after="0"/>
        <w:ind w:left="0" w:firstLine="0"/>
        <w:rPr>
          <w:rFonts w:ascii="Arial" w:hAnsi="Arial" w:cs="Arial"/>
          <w:lang w:val="es-ES"/>
        </w:rPr>
      </w:pPr>
      <w:r w:rsidRPr="00260E03">
        <w:rPr>
          <w:rStyle w:val="Refdenotaalpie"/>
          <w:rFonts w:ascii="Arial" w:hAnsi="Arial" w:cs="Arial"/>
        </w:rPr>
        <w:footnoteRef/>
      </w:r>
      <w:r w:rsidRPr="00260E03">
        <w:rPr>
          <w:rFonts w:ascii="Arial" w:hAnsi="Arial" w:cs="Arial"/>
        </w:rPr>
        <w:t xml:space="preserve"> </w:t>
      </w:r>
      <w:r w:rsidRPr="00260E03">
        <w:rPr>
          <w:rFonts w:ascii="Arial" w:hAnsi="Arial" w:cs="Arial"/>
          <w:lang w:val="es-ES"/>
        </w:rPr>
        <w:t>Acuerdo por el que se aprueba informe sobre la Propuesta de Resolución de la Dirección General de Política Energética y Minas por la que se apr</w:t>
      </w:r>
      <w:r>
        <w:rPr>
          <w:rFonts w:ascii="Arial" w:hAnsi="Arial" w:cs="Arial"/>
          <w:lang w:val="es-ES"/>
        </w:rPr>
        <w:t>ueban los nuevos Protocolos de D</w:t>
      </w:r>
      <w:r w:rsidRPr="00260E03">
        <w:rPr>
          <w:rFonts w:ascii="Arial" w:hAnsi="Arial" w:cs="Arial"/>
          <w:lang w:val="es-ES"/>
        </w:rPr>
        <w:t>etalle PD-19, PD-20 y PD-21 sobre mermas y se modifican la Norma de Gestión Técnica del Sistema NGTS-12 y los Protocolos de Detalle PD-01 y PD-02, de fecha 1 de junio de 2017</w:t>
      </w:r>
      <w:r>
        <w:rPr>
          <w:rFonts w:ascii="Arial" w:hAnsi="Arial" w:cs="Arial"/>
          <w:lang w:val="es-ES"/>
        </w:rPr>
        <w:t xml:space="preserve"> (exp.: INF/DE/021/17)</w:t>
      </w:r>
      <w:r w:rsidRPr="00260E03">
        <w:rPr>
          <w:rFonts w:ascii="Arial" w:hAnsi="Arial" w:cs="Arial"/>
          <w:lang w:val="es-ES"/>
        </w:rPr>
        <w:t>.</w:t>
      </w:r>
    </w:p>
  </w:footnote>
  <w:footnote w:id="2">
    <w:p w14:paraId="14D7286E" w14:textId="77777777" w:rsidR="00960A3B" w:rsidRPr="004B7087" w:rsidRDefault="00960A3B" w:rsidP="004B7087">
      <w:pPr>
        <w:pStyle w:val="Textonotapie"/>
        <w:spacing w:after="0"/>
        <w:ind w:left="0" w:firstLine="0"/>
        <w:rPr>
          <w:rFonts w:ascii="Arial" w:hAnsi="Arial" w:cs="Arial"/>
        </w:rPr>
      </w:pPr>
      <w:r w:rsidRPr="004B7087">
        <w:rPr>
          <w:rStyle w:val="Refdenotaalpie"/>
          <w:rFonts w:ascii="Arial" w:hAnsi="Arial" w:cs="Arial"/>
        </w:rPr>
        <w:footnoteRef/>
      </w:r>
      <w:hyperlink r:id="rId1" w:history="1">
        <w:r w:rsidRPr="00714758">
          <w:rPr>
            <w:rStyle w:val="Hipervnculo"/>
            <w:rFonts w:ascii="Arial" w:hAnsi="Arial" w:cs="Arial"/>
          </w:rPr>
          <w:t>https://www.enagas.es/enagas/es/Gestion_Tecnica_Sistema/Mercados/Precio_medio_para_saldo_mermas</w:t>
        </w:r>
      </w:hyperlink>
    </w:p>
  </w:footnote>
  <w:footnote w:id="3">
    <w:p w14:paraId="1D36D2DD" w14:textId="77777777" w:rsidR="00960A3B" w:rsidRPr="00F86825" w:rsidRDefault="00960A3B" w:rsidP="00F86825">
      <w:pPr>
        <w:pStyle w:val="Textonotapie"/>
        <w:spacing w:after="0"/>
        <w:ind w:left="0" w:firstLine="0"/>
        <w:rPr>
          <w:rFonts w:ascii="Arial" w:hAnsi="Arial" w:cs="Arial"/>
          <w:lang w:val="es-ES"/>
        </w:rPr>
      </w:pPr>
      <w:r w:rsidRPr="00F86825">
        <w:rPr>
          <w:rStyle w:val="Refdenotaalpie"/>
          <w:rFonts w:ascii="Arial" w:hAnsi="Arial" w:cs="Arial"/>
        </w:rPr>
        <w:footnoteRef/>
      </w:r>
      <w:r w:rsidRPr="00F86825">
        <w:rPr>
          <w:rFonts w:ascii="Arial" w:hAnsi="Arial" w:cs="Arial"/>
        </w:rPr>
        <w:t xml:space="preserve"> Como se indicaba en el apartado 4.3 en relación a las cargas de buques, el gas retenido a los comercializadores es igual al gas que se pierde en la operación (mermas reales</w:t>
      </w:r>
      <w:r>
        <w:rPr>
          <w:rFonts w:ascii="Arial" w:hAnsi="Arial" w:cs="Arial"/>
        </w:rPr>
        <w:t xml:space="preserve"> </w:t>
      </w:r>
      <w:r w:rsidRPr="00F86825">
        <w:rPr>
          <w:rFonts w:ascii="Arial" w:hAnsi="Arial" w:cs="Arial"/>
        </w:rPr>
        <w:t>=</w:t>
      </w:r>
      <w:r>
        <w:rPr>
          <w:rFonts w:ascii="Arial" w:hAnsi="Arial" w:cs="Arial"/>
        </w:rPr>
        <w:t xml:space="preserve"> </w:t>
      </w:r>
      <w:r w:rsidRPr="00F86825">
        <w:rPr>
          <w:rFonts w:ascii="Arial" w:hAnsi="Arial" w:cs="Arial"/>
        </w:rPr>
        <w:t>mermas retenidas) por lo que el saldo de mermas no se ve afectado por estas operaciones. Por este motivo, las mermas reales relacionadas con las cargas no se tienen en cuenta para el cálculo de este coeficiente.</w:t>
      </w:r>
    </w:p>
  </w:footnote>
  <w:footnote w:id="4">
    <w:p w14:paraId="5B442606" w14:textId="22BC3903" w:rsidR="00960A3B" w:rsidRPr="003F5EF7" w:rsidRDefault="00960A3B" w:rsidP="003F5EF7">
      <w:pPr>
        <w:pStyle w:val="Textonotapie"/>
        <w:spacing w:after="0"/>
        <w:ind w:left="0" w:firstLine="0"/>
        <w:rPr>
          <w:rFonts w:ascii="Arial" w:hAnsi="Arial" w:cs="Arial"/>
        </w:rPr>
      </w:pPr>
      <w:r w:rsidRPr="00F86825">
        <w:rPr>
          <w:rStyle w:val="Refdenotaalpie"/>
          <w:rFonts w:ascii="Arial" w:hAnsi="Arial" w:cs="Arial"/>
        </w:rPr>
        <w:footnoteRef/>
      </w:r>
      <w:r w:rsidRPr="00F86825">
        <w:rPr>
          <w:rFonts w:ascii="Arial" w:hAnsi="Arial" w:cs="Arial"/>
        </w:rPr>
        <w:t xml:space="preserve"> </w:t>
      </w:r>
      <w:r>
        <w:rPr>
          <w:rFonts w:ascii="Arial" w:hAnsi="Arial" w:cs="Arial"/>
        </w:rPr>
        <w:t>Según la normativa vigente para cada momento, para el periodo 2010-2013, el saldo de mermas se calcula como mermas retenidas menos mermas reales mientras que para el pe</w:t>
      </w:r>
      <w:r w:rsidR="0018166D">
        <w:rPr>
          <w:rFonts w:ascii="Arial" w:hAnsi="Arial" w:cs="Arial"/>
        </w:rPr>
        <w:t>ri</w:t>
      </w:r>
      <w:r>
        <w:rPr>
          <w:rFonts w:ascii="Arial" w:hAnsi="Arial" w:cs="Arial"/>
        </w:rPr>
        <w:t>odo 2014-201</w:t>
      </w:r>
      <w:r w:rsidR="00332D6C">
        <w:rPr>
          <w:rFonts w:ascii="Arial" w:hAnsi="Arial" w:cs="Arial"/>
        </w:rPr>
        <w:t>9</w:t>
      </w:r>
      <w:r>
        <w:rPr>
          <w:rFonts w:ascii="Arial" w:hAnsi="Arial" w:cs="Arial"/>
        </w:rPr>
        <w:t xml:space="preserve">, el saldo de mermas se calcula como mermas reales menos mermas retenidas. Sin embargo, </w:t>
      </w:r>
      <w:r w:rsidRPr="003F5EF7">
        <w:rPr>
          <w:rFonts w:ascii="Arial" w:hAnsi="Arial" w:cs="Arial"/>
        </w:rPr>
        <w:t>para que las cifras de saldos de mermas puedan ser comparables</w:t>
      </w:r>
      <w:r>
        <w:rPr>
          <w:rFonts w:ascii="Arial" w:hAnsi="Arial" w:cs="Arial"/>
        </w:rPr>
        <w:t xml:space="preserve"> en el periodo completo de años</w:t>
      </w:r>
      <w:r w:rsidRPr="003F5EF7">
        <w:rPr>
          <w:rFonts w:ascii="Arial" w:hAnsi="Arial" w:cs="Arial"/>
        </w:rPr>
        <w:t xml:space="preserve">, a efectos de los cuadros siguientes, para los años 2010-2013 se calcula el saldo de mermas como </w:t>
      </w:r>
      <w:r w:rsidR="0018166D">
        <w:rPr>
          <w:rFonts w:ascii="Arial" w:hAnsi="Arial" w:cs="Arial"/>
        </w:rPr>
        <w:t>96</w:t>
      </w:r>
      <w:r w:rsidRPr="003F5EF7">
        <w:rPr>
          <w:rFonts w:ascii="Arial" w:hAnsi="Arial" w:cs="Arial"/>
        </w:rPr>
        <w:t>mermas reales menos mermas retenidas</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989E9" w14:textId="77777777" w:rsidR="00960A3B" w:rsidRPr="00D16D97" w:rsidRDefault="00960A3B" w:rsidP="009954E1">
    <w:pPr>
      <w:pStyle w:val="Encabezado"/>
      <w:pBdr>
        <w:bottom w:val="single" w:sz="4" w:space="1" w:color="auto"/>
      </w:pBdr>
    </w:pPr>
    <w:r>
      <w:rPr>
        <w:rFonts w:ascii="Book Antiqua" w:hAnsi="Book Antiqua"/>
        <w:noProof/>
        <w:sz w:val="21"/>
        <w:szCs w:val="21"/>
      </w:rPr>
      <w:drawing>
        <wp:inline distT="0" distB="0" distL="0" distR="0" wp14:anchorId="74AE0472" wp14:editId="52ED7D8D">
          <wp:extent cx="2161540" cy="724535"/>
          <wp:effectExtent l="0" t="0" r="0" b="0"/>
          <wp:docPr id="11" name="Imagen 11" descr="Descripción: logoCNMC-3 de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ción: logoCNMC-3 def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724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EDC"/>
    <w:multiLevelType w:val="hybridMultilevel"/>
    <w:tmpl w:val="0DD04460"/>
    <w:lvl w:ilvl="0" w:tplc="08090003">
      <w:start w:val="1"/>
      <w:numFmt w:val="bullet"/>
      <w:lvlText w:val="o"/>
      <w:lvlJc w:val="left"/>
      <w:pPr>
        <w:ind w:left="709" w:hanging="360"/>
      </w:pPr>
      <w:rPr>
        <w:rFonts w:ascii="Courier New" w:hAnsi="Courier New" w:cs="Courier New"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15:restartNumberingAfterBreak="0">
    <w:nsid w:val="020E7146"/>
    <w:multiLevelType w:val="hybridMultilevel"/>
    <w:tmpl w:val="A3BC0DBE"/>
    <w:lvl w:ilvl="0" w:tplc="44E20D04">
      <w:numFmt w:val="bullet"/>
      <w:lvlText w:val="•"/>
      <w:lvlJc w:val="left"/>
      <w:pPr>
        <w:ind w:left="720" w:hanging="360"/>
      </w:pPr>
      <w:rPr>
        <w:rFonts w:ascii="Arial" w:eastAsia="UniversLTStd"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DC6FBB"/>
    <w:multiLevelType w:val="hybridMultilevel"/>
    <w:tmpl w:val="605E9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A8574F"/>
    <w:multiLevelType w:val="hybridMultilevel"/>
    <w:tmpl w:val="65A61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6C36A6"/>
    <w:multiLevelType w:val="hybridMultilevel"/>
    <w:tmpl w:val="61881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5E3450"/>
    <w:multiLevelType w:val="multilevel"/>
    <w:tmpl w:val="3A6E19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9566EF"/>
    <w:multiLevelType w:val="hybridMultilevel"/>
    <w:tmpl w:val="7DA45F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6F1F78"/>
    <w:multiLevelType w:val="hybridMultilevel"/>
    <w:tmpl w:val="06227EA2"/>
    <w:lvl w:ilvl="0" w:tplc="0C0A000F">
      <w:start w:val="1"/>
      <w:numFmt w:val="decimal"/>
      <w:lvlText w:val="%1."/>
      <w:lvlJc w:val="left"/>
      <w:pPr>
        <w:ind w:left="927" w:hanging="360"/>
      </w:pPr>
      <w:rPr>
        <w:rFont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0F295D58"/>
    <w:multiLevelType w:val="hybridMultilevel"/>
    <w:tmpl w:val="EBCEEF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4736F3"/>
    <w:multiLevelType w:val="hybridMultilevel"/>
    <w:tmpl w:val="AA78495A"/>
    <w:lvl w:ilvl="0" w:tplc="F8E0563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3E2951"/>
    <w:multiLevelType w:val="hybridMultilevel"/>
    <w:tmpl w:val="16DC5462"/>
    <w:lvl w:ilvl="0" w:tplc="0C0A000F">
      <w:start w:val="1"/>
      <w:numFmt w:val="decimal"/>
      <w:lvlText w:val="%1."/>
      <w:lvlJc w:val="left"/>
      <w:pPr>
        <w:ind w:left="720" w:hanging="360"/>
      </w:pPr>
      <w:rPr>
        <w:rFonts w:hint="default"/>
      </w:rPr>
    </w:lvl>
    <w:lvl w:ilvl="1" w:tplc="8C38B73C">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13278A"/>
    <w:multiLevelType w:val="multilevel"/>
    <w:tmpl w:val="1D1C1C38"/>
    <w:lvl w:ilvl="0">
      <w:start w:val="1"/>
      <w:numFmt w:val="decimal"/>
      <w:pStyle w:val="Ttulo1"/>
      <w:lvlText w:val="%1."/>
      <w:lvlJc w:val="left"/>
      <w:pPr>
        <w:tabs>
          <w:tab w:val="num" w:pos="574"/>
        </w:tabs>
        <w:ind w:left="574" w:hanging="432"/>
      </w:pPr>
      <w:rPr>
        <w:rFonts w:hint="default"/>
      </w:rPr>
    </w:lvl>
    <w:lvl w:ilvl="1">
      <w:start w:val="1"/>
      <w:numFmt w:val="decimal"/>
      <w:pStyle w:val="Ttulo2"/>
      <w:lvlText w:val="%1.%2"/>
      <w:lvlJc w:val="left"/>
      <w:pPr>
        <w:tabs>
          <w:tab w:val="num" w:pos="576"/>
        </w:tabs>
        <w:ind w:left="576" w:hanging="576"/>
      </w:pPr>
      <w:rPr>
        <w:rFonts w:hint="default"/>
        <w:lang w:val="es-ES"/>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2" w15:restartNumberingAfterBreak="0">
    <w:nsid w:val="13DA53CB"/>
    <w:multiLevelType w:val="hybridMultilevel"/>
    <w:tmpl w:val="C00C042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162E0DEB"/>
    <w:multiLevelType w:val="hybridMultilevel"/>
    <w:tmpl w:val="4A7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984ADD"/>
    <w:multiLevelType w:val="hybridMultilevel"/>
    <w:tmpl w:val="8FDED706"/>
    <w:lvl w:ilvl="0" w:tplc="0C0A000F">
      <w:start w:val="1"/>
      <w:numFmt w:val="decimal"/>
      <w:lvlText w:val="%1."/>
      <w:lvlJc w:val="left"/>
      <w:pPr>
        <w:ind w:left="795"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1CD378CC"/>
    <w:multiLevelType w:val="hybridMultilevel"/>
    <w:tmpl w:val="B6EAD694"/>
    <w:lvl w:ilvl="0" w:tplc="3CD41750">
      <w:numFmt w:val="bullet"/>
      <w:lvlText w:val=""/>
      <w:lvlJc w:val="left"/>
      <w:pPr>
        <w:ind w:left="360" w:hanging="360"/>
      </w:pPr>
      <w:rPr>
        <w:rFonts w:ascii="Symbol" w:eastAsiaTheme="minorHAnsi" w:hAnsi="Symbol"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1E903F07"/>
    <w:multiLevelType w:val="hybridMultilevel"/>
    <w:tmpl w:val="3EF22020"/>
    <w:lvl w:ilvl="0" w:tplc="7832A99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3AB22EE"/>
    <w:multiLevelType w:val="hybridMultilevel"/>
    <w:tmpl w:val="83C0F586"/>
    <w:lvl w:ilvl="0" w:tplc="0C0A000F">
      <w:start w:val="1"/>
      <w:numFmt w:val="bullet"/>
      <w:pStyle w:val="Vieta-2"/>
      <w:lvlText w:val=""/>
      <w:lvlJc w:val="left"/>
      <w:pPr>
        <w:tabs>
          <w:tab w:val="num" w:pos="720"/>
        </w:tabs>
        <w:ind w:left="720" w:hanging="360"/>
      </w:pPr>
      <w:rPr>
        <w:rFonts w:ascii="Symbol" w:hAnsi="Symbol" w:hint="default"/>
        <w:color w:val="auto"/>
        <w:sz w:val="24"/>
        <w:szCs w:val="24"/>
      </w:rPr>
    </w:lvl>
    <w:lvl w:ilvl="1" w:tplc="0C0A0019">
      <w:start w:val="1"/>
      <w:numFmt w:val="bullet"/>
      <w:lvlText w:val=""/>
      <w:lvlJc w:val="left"/>
      <w:pPr>
        <w:tabs>
          <w:tab w:val="num" w:pos="1440"/>
        </w:tabs>
        <w:ind w:left="1440" w:hanging="360"/>
      </w:pPr>
      <w:rPr>
        <w:rFonts w:ascii="Wingdings" w:hAnsi="Wingdings" w:hint="default"/>
        <w:color w:val="auto"/>
        <w:sz w:val="24"/>
        <w:szCs w:val="24"/>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F72BF8"/>
    <w:multiLevelType w:val="hybridMultilevel"/>
    <w:tmpl w:val="4EA0AA76"/>
    <w:lvl w:ilvl="0" w:tplc="C5E2E7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7617FA3"/>
    <w:multiLevelType w:val="hybridMultilevel"/>
    <w:tmpl w:val="F4AAB854"/>
    <w:lvl w:ilvl="0" w:tplc="DCCC2B16">
      <w:start w:val="1"/>
      <w:numFmt w:val="decimal"/>
      <w:lvlText w:val="%1."/>
      <w:lvlJc w:val="left"/>
      <w:pPr>
        <w:ind w:left="928" w:hanging="360"/>
      </w:pPr>
      <w:rPr>
        <w:rFonts w:hint="default"/>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E953D3"/>
    <w:multiLevelType w:val="hybridMultilevel"/>
    <w:tmpl w:val="FA846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8F50357"/>
    <w:multiLevelType w:val="hybridMultilevel"/>
    <w:tmpl w:val="7402FA6C"/>
    <w:lvl w:ilvl="0" w:tplc="537C3CD6">
      <w:start w:val="1"/>
      <w:numFmt w:val="bullet"/>
      <w:pStyle w:val="Vieta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461D3D"/>
    <w:multiLevelType w:val="hybridMultilevel"/>
    <w:tmpl w:val="EBCEEF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95A0B72"/>
    <w:multiLevelType w:val="hybridMultilevel"/>
    <w:tmpl w:val="68BA1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AAE10FB"/>
    <w:multiLevelType w:val="hybridMultilevel"/>
    <w:tmpl w:val="39746A52"/>
    <w:lvl w:ilvl="0" w:tplc="38E03DEE">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2C7818"/>
    <w:multiLevelType w:val="hybridMultilevel"/>
    <w:tmpl w:val="00B6AC2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BAA63DE"/>
    <w:multiLevelType w:val="hybridMultilevel"/>
    <w:tmpl w:val="E6C806C6"/>
    <w:lvl w:ilvl="0" w:tplc="79F064E0">
      <w:start w:val="1"/>
      <w:numFmt w:val="bullet"/>
      <w:lvlText w:val=""/>
      <w:lvlJc w:val="left"/>
      <w:pPr>
        <w:tabs>
          <w:tab w:val="num" w:pos="1287"/>
        </w:tabs>
        <w:ind w:left="1287"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BA19A4"/>
    <w:multiLevelType w:val="hybridMultilevel"/>
    <w:tmpl w:val="B876FC4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8" w15:restartNumberingAfterBreak="0">
    <w:nsid w:val="42DB1374"/>
    <w:multiLevelType w:val="hybridMultilevel"/>
    <w:tmpl w:val="1E54E4A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2E47982"/>
    <w:multiLevelType w:val="hybridMultilevel"/>
    <w:tmpl w:val="97B6B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7F72405"/>
    <w:multiLevelType w:val="hybridMultilevel"/>
    <w:tmpl w:val="3196A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4178DE"/>
    <w:multiLevelType w:val="hybridMultilevel"/>
    <w:tmpl w:val="513869F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9BC2F34"/>
    <w:multiLevelType w:val="hybridMultilevel"/>
    <w:tmpl w:val="DC6CD7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1B7527"/>
    <w:multiLevelType w:val="hybridMultilevel"/>
    <w:tmpl w:val="DF207FD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15:restartNumberingAfterBreak="0">
    <w:nsid w:val="6D6468D8"/>
    <w:multiLevelType w:val="hybridMultilevel"/>
    <w:tmpl w:val="DB4CA4A2"/>
    <w:lvl w:ilvl="0" w:tplc="BE963522">
      <w:start w:val="5"/>
      <w:numFmt w:val="decimal"/>
      <w:lvlText w:val="%1."/>
      <w:lvlJc w:val="left"/>
      <w:pPr>
        <w:ind w:left="79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EDA7928"/>
    <w:multiLevelType w:val="hybridMultilevel"/>
    <w:tmpl w:val="FA22B378"/>
    <w:lvl w:ilvl="0" w:tplc="0C0A0001">
      <w:start w:val="1"/>
      <w:numFmt w:val="bullet"/>
      <w:lvlText w:val=""/>
      <w:lvlJc w:val="left"/>
      <w:pPr>
        <w:ind w:left="720" w:hanging="360"/>
      </w:pPr>
      <w:rPr>
        <w:rFonts w:ascii="Symbol" w:hAnsi="Symbol" w:hint="default"/>
      </w:rPr>
    </w:lvl>
    <w:lvl w:ilvl="1" w:tplc="8A5EE102">
      <w:start w:val="3"/>
      <w:numFmt w:val="bullet"/>
      <w:lvlText w:val="•"/>
      <w:lvlJc w:val="left"/>
      <w:pPr>
        <w:ind w:left="1440" w:hanging="360"/>
      </w:pPr>
      <w:rPr>
        <w:rFonts w:ascii="Arial" w:eastAsia="UniversLTStd"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F304935"/>
    <w:multiLevelType w:val="hybridMultilevel"/>
    <w:tmpl w:val="34D64222"/>
    <w:lvl w:ilvl="0" w:tplc="1CC2814E">
      <w:start w:val="1"/>
      <w:numFmt w:val="decimal"/>
      <w:lvlText w:val="%1."/>
      <w:lvlJc w:val="left"/>
      <w:pPr>
        <w:ind w:left="720" w:hanging="360"/>
      </w:pPr>
      <w:rPr>
        <w:rFonts w:ascii="Arial" w:hAnsi="Arial" w:hint="default"/>
        <w:b w:val="0"/>
        <w:i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117442C"/>
    <w:multiLevelType w:val="hybridMultilevel"/>
    <w:tmpl w:val="22F466E2"/>
    <w:lvl w:ilvl="0" w:tplc="1D8AB3CC">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8" w15:restartNumberingAfterBreak="0">
    <w:nsid w:val="74EE0F54"/>
    <w:multiLevelType w:val="hybridMultilevel"/>
    <w:tmpl w:val="018EF6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6352241"/>
    <w:multiLevelType w:val="hybridMultilevel"/>
    <w:tmpl w:val="F1C6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1050D"/>
    <w:multiLevelType w:val="hybridMultilevel"/>
    <w:tmpl w:val="D6BEC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A10C59"/>
    <w:multiLevelType w:val="hybridMultilevel"/>
    <w:tmpl w:val="D8CC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EB82366"/>
    <w:multiLevelType w:val="hybridMultilevel"/>
    <w:tmpl w:val="6FDA5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7"/>
  </w:num>
  <w:num w:numId="4">
    <w:abstractNumId w:val="22"/>
  </w:num>
  <w:num w:numId="5">
    <w:abstractNumId w:val="35"/>
  </w:num>
  <w:num w:numId="6">
    <w:abstractNumId w:val="32"/>
  </w:num>
  <w:num w:numId="7">
    <w:abstractNumId w:val="33"/>
  </w:num>
  <w:num w:numId="8">
    <w:abstractNumId w:val="19"/>
  </w:num>
  <w:num w:numId="9">
    <w:abstractNumId w:val="20"/>
  </w:num>
  <w:num w:numId="10">
    <w:abstractNumId w:val="3"/>
  </w:num>
  <w:num w:numId="11">
    <w:abstractNumId w:val="1"/>
  </w:num>
  <w:num w:numId="12">
    <w:abstractNumId w:val="18"/>
  </w:num>
  <w:num w:numId="13">
    <w:abstractNumId w:val="8"/>
  </w:num>
  <w:num w:numId="14">
    <w:abstractNumId w:val="39"/>
  </w:num>
  <w:num w:numId="15">
    <w:abstractNumId w:val="0"/>
  </w:num>
  <w:num w:numId="16">
    <w:abstractNumId w:val="5"/>
  </w:num>
  <w:num w:numId="17">
    <w:abstractNumId w:val="21"/>
  </w:num>
  <w:num w:numId="18">
    <w:abstractNumId w:val="2"/>
  </w:num>
  <w:num w:numId="19">
    <w:abstractNumId w:val="16"/>
  </w:num>
  <w:num w:numId="20">
    <w:abstractNumId w:val="4"/>
  </w:num>
  <w:num w:numId="21">
    <w:abstractNumId w:val="12"/>
  </w:num>
  <w:num w:numId="22">
    <w:abstractNumId w:val="42"/>
  </w:num>
  <w:num w:numId="23">
    <w:abstractNumId w:val="30"/>
  </w:num>
  <w:num w:numId="24">
    <w:abstractNumId w:val="13"/>
  </w:num>
  <w:num w:numId="25">
    <w:abstractNumId w:val="28"/>
  </w:num>
  <w:num w:numId="26">
    <w:abstractNumId w:val="9"/>
  </w:num>
  <w:num w:numId="27">
    <w:abstractNumId w:val="24"/>
  </w:num>
  <w:num w:numId="28">
    <w:abstractNumId w:val="41"/>
  </w:num>
  <w:num w:numId="29">
    <w:abstractNumId w:val="7"/>
  </w:num>
  <w:num w:numId="30">
    <w:abstractNumId w:val="27"/>
  </w:num>
  <w:num w:numId="31">
    <w:abstractNumId w:val="37"/>
  </w:num>
  <w:num w:numId="32">
    <w:abstractNumId w:val="25"/>
  </w:num>
  <w:num w:numId="33">
    <w:abstractNumId w:val="38"/>
  </w:num>
  <w:num w:numId="34">
    <w:abstractNumId w:val="26"/>
  </w:num>
  <w:num w:numId="35">
    <w:abstractNumId w:val="40"/>
  </w:num>
  <w:num w:numId="36">
    <w:abstractNumId w:val="10"/>
  </w:num>
  <w:num w:numId="37">
    <w:abstractNumId w:val="6"/>
  </w:num>
  <w:num w:numId="38">
    <w:abstractNumId w:val="29"/>
  </w:num>
  <w:num w:numId="39">
    <w:abstractNumId w:val="36"/>
  </w:num>
  <w:num w:numId="40">
    <w:abstractNumId w:val="14"/>
  </w:num>
  <w:num w:numId="41">
    <w:abstractNumId w:val="34"/>
  </w:num>
  <w:num w:numId="42">
    <w:abstractNumId w:val="31"/>
  </w:num>
  <w:num w:numId="4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E3"/>
    <w:rsid w:val="00000D0E"/>
    <w:rsid w:val="00000D53"/>
    <w:rsid w:val="000017D9"/>
    <w:rsid w:val="00001892"/>
    <w:rsid w:val="00002679"/>
    <w:rsid w:val="000029AB"/>
    <w:rsid w:val="00002FB6"/>
    <w:rsid w:val="00003222"/>
    <w:rsid w:val="0000324D"/>
    <w:rsid w:val="00003896"/>
    <w:rsid w:val="00003A2B"/>
    <w:rsid w:val="00003C62"/>
    <w:rsid w:val="00003F41"/>
    <w:rsid w:val="00003F5C"/>
    <w:rsid w:val="000043AD"/>
    <w:rsid w:val="000044C8"/>
    <w:rsid w:val="00004D05"/>
    <w:rsid w:val="00005029"/>
    <w:rsid w:val="0000515D"/>
    <w:rsid w:val="000051E3"/>
    <w:rsid w:val="000053D1"/>
    <w:rsid w:val="0000540B"/>
    <w:rsid w:val="0000580D"/>
    <w:rsid w:val="00005B2D"/>
    <w:rsid w:val="00005EAB"/>
    <w:rsid w:val="00005EEE"/>
    <w:rsid w:val="00005FBF"/>
    <w:rsid w:val="0000608E"/>
    <w:rsid w:val="00006338"/>
    <w:rsid w:val="00006F70"/>
    <w:rsid w:val="00010145"/>
    <w:rsid w:val="000106A3"/>
    <w:rsid w:val="0001084A"/>
    <w:rsid w:val="00010A74"/>
    <w:rsid w:val="00010AB4"/>
    <w:rsid w:val="00010F0D"/>
    <w:rsid w:val="000113E7"/>
    <w:rsid w:val="000114B0"/>
    <w:rsid w:val="000116FC"/>
    <w:rsid w:val="000117D3"/>
    <w:rsid w:val="000117F5"/>
    <w:rsid w:val="00011876"/>
    <w:rsid w:val="000118BA"/>
    <w:rsid w:val="00011DEE"/>
    <w:rsid w:val="0001245D"/>
    <w:rsid w:val="0001272D"/>
    <w:rsid w:val="00013976"/>
    <w:rsid w:val="00013EF6"/>
    <w:rsid w:val="000142A5"/>
    <w:rsid w:val="000152E4"/>
    <w:rsid w:val="00015AA3"/>
    <w:rsid w:val="00015D4E"/>
    <w:rsid w:val="00015F49"/>
    <w:rsid w:val="00016214"/>
    <w:rsid w:val="00016947"/>
    <w:rsid w:val="00016DB5"/>
    <w:rsid w:val="00016F7C"/>
    <w:rsid w:val="0001729A"/>
    <w:rsid w:val="000172C9"/>
    <w:rsid w:val="00017B95"/>
    <w:rsid w:val="00017EF3"/>
    <w:rsid w:val="00020003"/>
    <w:rsid w:val="000202C6"/>
    <w:rsid w:val="00020428"/>
    <w:rsid w:val="0002046E"/>
    <w:rsid w:val="00020E79"/>
    <w:rsid w:val="00021075"/>
    <w:rsid w:val="00021DB0"/>
    <w:rsid w:val="000226F8"/>
    <w:rsid w:val="000244CF"/>
    <w:rsid w:val="00024C53"/>
    <w:rsid w:val="00025066"/>
    <w:rsid w:val="00025304"/>
    <w:rsid w:val="00025425"/>
    <w:rsid w:val="00026286"/>
    <w:rsid w:val="00027184"/>
    <w:rsid w:val="00027376"/>
    <w:rsid w:val="0002791E"/>
    <w:rsid w:val="00027DB5"/>
    <w:rsid w:val="000302B9"/>
    <w:rsid w:val="000303F9"/>
    <w:rsid w:val="0003049B"/>
    <w:rsid w:val="00030630"/>
    <w:rsid w:val="000306DB"/>
    <w:rsid w:val="000309AE"/>
    <w:rsid w:val="00030A03"/>
    <w:rsid w:val="00030B1A"/>
    <w:rsid w:val="00030E95"/>
    <w:rsid w:val="00031100"/>
    <w:rsid w:val="000312C6"/>
    <w:rsid w:val="000312E9"/>
    <w:rsid w:val="0003161E"/>
    <w:rsid w:val="000317BE"/>
    <w:rsid w:val="00031E9B"/>
    <w:rsid w:val="0003302F"/>
    <w:rsid w:val="00033047"/>
    <w:rsid w:val="000330AD"/>
    <w:rsid w:val="00033381"/>
    <w:rsid w:val="0003373E"/>
    <w:rsid w:val="00033CD3"/>
    <w:rsid w:val="0003482C"/>
    <w:rsid w:val="00034E29"/>
    <w:rsid w:val="00035290"/>
    <w:rsid w:val="00035756"/>
    <w:rsid w:val="00035F20"/>
    <w:rsid w:val="00036025"/>
    <w:rsid w:val="0003657F"/>
    <w:rsid w:val="00036720"/>
    <w:rsid w:val="000367D1"/>
    <w:rsid w:val="00036BCC"/>
    <w:rsid w:val="00036D80"/>
    <w:rsid w:val="00040128"/>
    <w:rsid w:val="00040AC3"/>
    <w:rsid w:val="00040C39"/>
    <w:rsid w:val="00040D03"/>
    <w:rsid w:val="00041721"/>
    <w:rsid w:val="00042A1D"/>
    <w:rsid w:val="00043374"/>
    <w:rsid w:val="0004352F"/>
    <w:rsid w:val="0004388F"/>
    <w:rsid w:val="0004391A"/>
    <w:rsid w:val="00043CF1"/>
    <w:rsid w:val="000440CD"/>
    <w:rsid w:val="0004427E"/>
    <w:rsid w:val="0004503C"/>
    <w:rsid w:val="00045158"/>
    <w:rsid w:val="00045899"/>
    <w:rsid w:val="00045925"/>
    <w:rsid w:val="00045FF6"/>
    <w:rsid w:val="00046727"/>
    <w:rsid w:val="00046A68"/>
    <w:rsid w:val="00046D7A"/>
    <w:rsid w:val="00046EBB"/>
    <w:rsid w:val="000473F2"/>
    <w:rsid w:val="00047A44"/>
    <w:rsid w:val="00047E9F"/>
    <w:rsid w:val="00047EA9"/>
    <w:rsid w:val="0005084F"/>
    <w:rsid w:val="000509C2"/>
    <w:rsid w:val="00050F7B"/>
    <w:rsid w:val="00051459"/>
    <w:rsid w:val="00051627"/>
    <w:rsid w:val="00051690"/>
    <w:rsid w:val="0005270F"/>
    <w:rsid w:val="000528EC"/>
    <w:rsid w:val="0005294B"/>
    <w:rsid w:val="000529DB"/>
    <w:rsid w:val="00052B00"/>
    <w:rsid w:val="00052CAD"/>
    <w:rsid w:val="00052E73"/>
    <w:rsid w:val="00052FF7"/>
    <w:rsid w:val="0005317A"/>
    <w:rsid w:val="00053429"/>
    <w:rsid w:val="00053493"/>
    <w:rsid w:val="000536AA"/>
    <w:rsid w:val="00053AA7"/>
    <w:rsid w:val="00053AC7"/>
    <w:rsid w:val="00054104"/>
    <w:rsid w:val="00054D7B"/>
    <w:rsid w:val="00054E8B"/>
    <w:rsid w:val="00055102"/>
    <w:rsid w:val="00055144"/>
    <w:rsid w:val="000551F2"/>
    <w:rsid w:val="00055A72"/>
    <w:rsid w:val="00055D7B"/>
    <w:rsid w:val="000560A9"/>
    <w:rsid w:val="000561E7"/>
    <w:rsid w:val="00056BAD"/>
    <w:rsid w:val="00056BE5"/>
    <w:rsid w:val="00056C68"/>
    <w:rsid w:val="00056D7B"/>
    <w:rsid w:val="0005714F"/>
    <w:rsid w:val="0005762D"/>
    <w:rsid w:val="00057A2C"/>
    <w:rsid w:val="00057F5A"/>
    <w:rsid w:val="00060022"/>
    <w:rsid w:val="000603E9"/>
    <w:rsid w:val="00060B16"/>
    <w:rsid w:val="00060CAF"/>
    <w:rsid w:val="00060DFE"/>
    <w:rsid w:val="0006166C"/>
    <w:rsid w:val="000616C8"/>
    <w:rsid w:val="00061B81"/>
    <w:rsid w:val="00061E0A"/>
    <w:rsid w:val="000624CF"/>
    <w:rsid w:val="00062797"/>
    <w:rsid w:val="000638DB"/>
    <w:rsid w:val="00063932"/>
    <w:rsid w:val="00063DD2"/>
    <w:rsid w:val="00064A20"/>
    <w:rsid w:val="00064A4B"/>
    <w:rsid w:val="00064C91"/>
    <w:rsid w:val="00064F50"/>
    <w:rsid w:val="00065724"/>
    <w:rsid w:val="00065D46"/>
    <w:rsid w:val="000663CC"/>
    <w:rsid w:val="0006643F"/>
    <w:rsid w:val="000667FD"/>
    <w:rsid w:val="00066898"/>
    <w:rsid w:val="00067013"/>
    <w:rsid w:val="00067197"/>
    <w:rsid w:val="00067371"/>
    <w:rsid w:val="000674BB"/>
    <w:rsid w:val="00067519"/>
    <w:rsid w:val="00067689"/>
    <w:rsid w:val="000676DE"/>
    <w:rsid w:val="0006779D"/>
    <w:rsid w:val="00067BB8"/>
    <w:rsid w:val="000700F6"/>
    <w:rsid w:val="0007022B"/>
    <w:rsid w:val="000702F4"/>
    <w:rsid w:val="0007042A"/>
    <w:rsid w:val="0007058F"/>
    <w:rsid w:val="0007068D"/>
    <w:rsid w:val="0007088E"/>
    <w:rsid w:val="00070A99"/>
    <w:rsid w:val="00070AA0"/>
    <w:rsid w:val="00070BAD"/>
    <w:rsid w:val="000712D6"/>
    <w:rsid w:val="00071507"/>
    <w:rsid w:val="00071660"/>
    <w:rsid w:val="000718EA"/>
    <w:rsid w:val="000723E5"/>
    <w:rsid w:val="000730A2"/>
    <w:rsid w:val="000735AB"/>
    <w:rsid w:val="0007369F"/>
    <w:rsid w:val="000736ED"/>
    <w:rsid w:val="000739AB"/>
    <w:rsid w:val="00073F7E"/>
    <w:rsid w:val="00073FE4"/>
    <w:rsid w:val="00074712"/>
    <w:rsid w:val="000758F8"/>
    <w:rsid w:val="00075966"/>
    <w:rsid w:val="00075A63"/>
    <w:rsid w:val="00075B18"/>
    <w:rsid w:val="00075EAD"/>
    <w:rsid w:val="00076027"/>
    <w:rsid w:val="00076048"/>
    <w:rsid w:val="00076333"/>
    <w:rsid w:val="00076372"/>
    <w:rsid w:val="00076465"/>
    <w:rsid w:val="00076B6E"/>
    <w:rsid w:val="00076CCC"/>
    <w:rsid w:val="00076D3E"/>
    <w:rsid w:val="00077242"/>
    <w:rsid w:val="00077730"/>
    <w:rsid w:val="00077774"/>
    <w:rsid w:val="0007780A"/>
    <w:rsid w:val="00077A45"/>
    <w:rsid w:val="00077D59"/>
    <w:rsid w:val="0008017D"/>
    <w:rsid w:val="00080489"/>
    <w:rsid w:val="00080537"/>
    <w:rsid w:val="00080B7A"/>
    <w:rsid w:val="00080E7D"/>
    <w:rsid w:val="00081069"/>
    <w:rsid w:val="00081252"/>
    <w:rsid w:val="00081307"/>
    <w:rsid w:val="000814CE"/>
    <w:rsid w:val="00082082"/>
    <w:rsid w:val="000822C0"/>
    <w:rsid w:val="000826D7"/>
    <w:rsid w:val="0008270A"/>
    <w:rsid w:val="0008314D"/>
    <w:rsid w:val="000831EA"/>
    <w:rsid w:val="00083402"/>
    <w:rsid w:val="000835AA"/>
    <w:rsid w:val="00083827"/>
    <w:rsid w:val="00083A74"/>
    <w:rsid w:val="00083AC8"/>
    <w:rsid w:val="00083BE0"/>
    <w:rsid w:val="000844C7"/>
    <w:rsid w:val="000845FB"/>
    <w:rsid w:val="0008492C"/>
    <w:rsid w:val="00084A06"/>
    <w:rsid w:val="00084B11"/>
    <w:rsid w:val="000857A8"/>
    <w:rsid w:val="00085AB1"/>
    <w:rsid w:val="00085C28"/>
    <w:rsid w:val="00085C87"/>
    <w:rsid w:val="00085EBB"/>
    <w:rsid w:val="00085EC1"/>
    <w:rsid w:val="00086387"/>
    <w:rsid w:val="000864CB"/>
    <w:rsid w:val="000864D4"/>
    <w:rsid w:val="0008670B"/>
    <w:rsid w:val="000867C8"/>
    <w:rsid w:val="0008686E"/>
    <w:rsid w:val="00086880"/>
    <w:rsid w:val="000870DD"/>
    <w:rsid w:val="0008735F"/>
    <w:rsid w:val="00087538"/>
    <w:rsid w:val="000879D1"/>
    <w:rsid w:val="00087EE8"/>
    <w:rsid w:val="00087F4A"/>
    <w:rsid w:val="00087F52"/>
    <w:rsid w:val="00090392"/>
    <w:rsid w:val="00090846"/>
    <w:rsid w:val="00090FA1"/>
    <w:rsid w:val="00091442"/>
    <w:rsid w:val="00091505"/>
    <w:rsid w:val="000916D3"/>
    <w:rsid w:val="000917EE"/>
    <w:rsid w:val="00091BC8"/>
    <w:rsid w:val="00091E91"/>
    <w:rsid w:val="00091ED7"/>
    <w:rsid w:val="00091FA8"/>
    <w:rsid w:val="000921A5"/>
    <w:rsid w:val="00092943"/>
    <w:rsid w:val="000929A4"/>
    <w:rsid w:val="00092BEA"/>
    <w:rsid w:val="00093165"/>
    <w:rsid w:val="00093B45"/>
    <w:rsid w:val="00093C12"/>
    <w:rsid w:val="00093E85"/>
    <w:rsid w:val="000940F6"/>
    <w:rsid w:val="0009416B"/>
    <w:rsid w:val="00094236"/>
    <w:rsid w:val="000943BE"/>
    <w:rsid w:val="0009455C"/>
    <w:rsid w:val="000946B0"/>
    <w:rsid w:val="000949ED"/>
    <w:rsid w:val="00094AD8"/>
    <w:rsid w:val="0009581E"/>
    <w:rsid w:val="00095D60"/>
    <w:rsid w:val="00095EA1"/>
    <w:rsid w:val="00095FEE"/>
    <w:rsid w:val="000964A2"/>
    <w:rsid w:val="000967E8"/>
    <w:rsid w:val="000969C9"/>
    <w:rsid w:val="000969E4"/>
    <w:rsid w:val="00096B86"/>
    <w:rsid w:val="00096CBD"/>
    <w:rsid w:val="00096DC4"/>
    <w:rsid w:val="00097032"/>
    <w:rsid w:val="0009708B"/>
    <w:rsid w:val="0009752B"/>
    <w:rsid w:val="000977E0"/>
    <w:rsid w:val="0009782B"/>
    <w:rsid w:val="000979DB"/>
    <w:rsid w:val="00097E5D"/>
    <w:rsid w:val="000A0478"/>
    <w:rsid w:val="000A0753"/>
    <w:rsid w:val="000A0E84"/>
    <w:rsid w:val="000A1740"/>
    <w:rsid w:val="000A18B1"/>
    <w:rsid w:val="000A18D3"/>
    <w:rsid w:val="000A1B00"/>
    <w:rsid w:val="000A1EA9"/>
    <w:rsid w:val="000A1F05"/>
    <w:rsid w:val="000A2225"/>
    <w:rsid w:val="000A2603"/>
    <w:rsid w:val="000A28D2"/>
    <w:rsid w:val="000A2F99"/>
    <w:rsid w:val="000A3450"/>
    <w:rsid w:val="000A34B2"/>
    <w:rsid w:val="000A356D"/>
    <w:rsid w:val="000A3646"/>
    <w:rsid w:val="000A3F08"/>
    <w:rsid w:val="000A4190"/>
    <w:rsid w:val="000A41B8"/>
    <w:rsid w:val="000A4233"/>
    <w:rsid w:val="000A5174"/>
    <w:rsid w:val="000A56A9"/>
    <w:rsid w:val="000A5CA4"/>
    <w:rsid w:val="000A5F4C"/>
    <w:rsid w:val="000A61F5"/>
    <w:rsid w:val="000A6525"/>
    <w:rsid w:val="000A6953"/>
    <w:rsid w:val="000A6A71"/>
    <w:rsid w:val="000A710A"/>
    <w:rsid w:val="000A7538"/>
    <w:rsid w:val="000A768F"/>
    <w:rsid w:val="000A76A1"/>
    <w:rsid w:val="000A7BAB"/>
    <w:rsid w:val="000B003E"/>
    <w:rsid w:val="000B0122"/>
    <w:rsid w:val="000B02F9"/>
    <w:rsid w:val="000B0617"/>
    <w:rsid w:val="000B0977"/>
    <w:rsid w:val="000B1B70"/>
    <w:rsid w:val="000B1B83"/>
    <w:rsid w:val="000B261C"/>
    <w:rsid w:val="000B27ED"/>
    <w:rsid w:val="000B2E43"/>
    <w:rsid w:val="000B391A"/>
    <w:rsid w:val="000B3E3A"/>
    <w:rsid w:val="000B423A"/>
    <w:rsid w:val="000B4315"/>
    <w:rsid w:val="000B46F3"/>
    <w:rsid w:val="000B4AF4"/>
    <w:rsid w:val="000B4E84"/>
    <w:rsid w:val="000B4E90"/>
    <w:rsid w:val="000B6006"/>
    <w:rsid w:val="000B677D"/>
    <w:rsid w:val="000B6D51"/>
    <w:rsid w:val="000B6D87"/>
    <w:rsid w:val="000B74BE"/>
    <w:rsid w:val="000B7609"/>
    <w:rsid w:val="000C00CB"/>
    <w:rsid w:val="000C0802"/>
    <w:rsid w:val="000C0FB7"/>
    <w:rsid w:val="000C138A"/>
    <w:rsid w:val="000C15F6"/>
    <w:rsid w:val="000C16E7"/>
    <w:rsid w:val="000C1AC6"/>
    <w:rsid w:val="000C1B38"/>
    <w:rsid w:val="000C1B5E"/>
    <w:rsid w:val="000C24AA"/>
    <w:rsid w:val="000C259F"/>
    <w:rsid w:val="000C2A4D"/>
    <w:rsid w:val="000C2BAF"/>
    <w:rsid w:val="000C2FCF"/>
    <w:rsid w:val="000C3002"/>
    <w:rsid w:val="000C3192"/>
    <w:rsid w:val="000C3641"/>
    <w:rsid w:val="000C3863"/>
    <w:rsid w:val="000C3BC0"/>
    <w:rsid w:val="000C3C93"/>
    <w:rsid w:val="000C3ED4"/>
    <w:rsid w:val="000C3FA5"/>
    <w:rsid w:val="000C3FEC"/>
    <w:rsid w:val="000C474B"/>
    <w:rsid w:val="000C4E35"/>
    <w:rsid w:val="000C4E69"/>
    <w:rsid w:val="000C5DF2"/>
    <w:rsid w:val="000C61D1"/>
    <w:rsid w:val="000C6584"/>
    <w:rsid w:val="000C749A"/>
    <w:rsid w:val="000C76DD"/>
    <w:rsid w:val="000C76F0"/>
    <w:rsid w:val="000D0197"/>
    <w:rsid w:val="000D045B"/>
    <w:rsid w:val="000D07C1"/>
    <w:rsid w:val="000D084D"/>
    <w:rsid w:val="000D0C29"/>
    <w:rsid w:val="000D105B"/>
    <w:rsid w:val="000D132E"/>
    <w:rsid w:val="000D14A9"/>
    <w:rsid w:val="000D1C19"/>
    <w:rsid w:val="000D1F5B"/>
    <w:rsid w:val="000D1FF4"/>
    <w:rsid w:val="000D22B3"/>
    <w:rsid w:val="000D310F"/>
    <w:rsid w:val="000D3788"/>
    <w:rsid w:val="000D380B"/>
    <w:rsid w:val="000D39A7"/>
    <w:rsid w:val="000D3FA3"/>
    <w:rsid w:val="000D41CD"/>
    <w:rsid w:val="000D4247"/>
    <w:rsid w:val="000D463B"/>
    <w:rsid w:val="000D4E50"/>
    <w:rsid w:val="000D508A"/>
    <w:rsid w:val="000D5317"/>
    <w:rsid w:val="000D5587"/>
    <w:rsid w:val="000D57A3"/>
    <w:rsid w:val="000D59AC"/>
    <w:rsid w:val="000D5A56"/>
    <w:rsid w:val="000D5B38"/>
    <w:rsid w:val="000D5D10"/>
    <w:rsid w:val="000D61C5"/>
    <w:rsid w:val="000D6507"/>
    <w:rsid w:val="000D668E"/>
    <w:rsid w:val="000D66D7"/>
    <w:rsid w:val="000D671A"/>
    <w:rsid w:val="000D692F"/>
    <w:rsid w:val="000D6B48"/>
    <w:rsid w:val="000D6F39"/>
    <w:rsid w:val="000D6FCA"/>
    <w:rsid w:val="000D7220"/>
    <w:rsid w:val="000D777E"/>
    <w:rsid w:val="000D7874"/>
    <w:rsid w:val="000D79BE"/>
    <w:rsid w:val="000D7BB9"/>
    <w:rsid w:val="000D7D2B"/>
    <w:rsid w:val="000E051C"/>
    <w:rsid w:val="000E0677"/>
    <w:rsid w:val="000E0B02"/>
    <w:rsid w:val="000E0C53"/>
    <w:rsid w:val="000E0E13"/>
    <w:rsid w:val="000E1316"/>
    <w:rsid w:val="000E1319"/>
    <w:rsid w:val="000E1BF4"/>
    <w:rsid w:val="000E1FF4"/>
    <w:rsid w:val="000E2218"/>
    <w:rsid w:val="000E246E"/>
    <w:rsid w:val="000E2733"/>
    <w:rsid w:val="000E3221"/>
    <w:rsid w:val="000E3249"/>
    <w:rsid w:val="000E381F"/>
    <w:rsid w:val="000E3CE8"/>
    <w:rsid w:val="000E4B49"/>
    <w:rsid w:val="000E4BC7"/>
    <w:rsid w:val="000E4BCE"/>
    <w:rsid w:val="000E53AD"/>
    <w:rsid w:val="000E56E5"/>
    <w:rsid w:val="000E57E4"/>
    <w:rsid w:val="000E59C7"/>
    <w:rsid w:val="000E5CD3"/>
    <w:rsid w:val="000E5D01"/>
    <w:rsid w:val="000E5F92"/>
    <w:rsid w:val="000E6136"/>
    <w:rsid w:val="000E670B"/>
    <w:rsid w:val="000E703E"/>
    <w:rsid w:val="000E73A2"/>
    <w:rsid w:val="000E76A8"/>
    <w:rsid w:val="000E7F46"/>
    <w:rsid w:val="000F021D"/>
    <w:rsid w:val="000F0493"/>
    <w:rsid w:val="000F0C80"/>
    <w:rsid w:val="000F0CEB"/>
    <w:rsid w:val="000F0F64"/>
    <w:rsid w:val="000F1005"/>
    <w:rsid w:val="000F1302"/>
    <w:rsid w:val="000F170B"/>
    <w:rsid w:val="000F1C93"/>
    <w:rsid w:val="000F26B2"/>
    <w:rsid w:val="000F270E"/>
    <w:rsid w:val="000F2A63"/>
    <w:rsid w:val="000F2FF5"/>
    <w:rsid w:val="000F309A"/>
    <w:rsid w:val="000F311D"/>
    <w:rsid w:val="000F315F"/>
    <w:rsid w:val="000F374B"/>
    <w:rsid w:val="000F374C"/>
    <w:rsid w:val="000F407F"/>
    <w:rsid w:val="000F433D"/>
    <w:rsid w:val="000F450B"/>
    <w:rsid w:val="000F45C1"/>
    <w:rsid w:val="000F46E3"/>
    <w:rsid w:val="000F4AC9"/>
    <w:rsid w:val="000F4C9D"/>
    <w:rsid w:val="000F51C9"/>
    <w:rsid w:val="000F5564"/>
    <w:rsid w:val="000F5A07"/>
    <w:rsid w:val="000F6230"/>
    <w:rsid w:val="000F6236"/>
    <w:rsid w:val="000F65C3"/>
    <w:rsid w:val="000F6865"/>
    <w:rsid w:val="000F6BA9"/>
    <w:rsid w:val="000F705A"/>
    <w:rsid w:val="000F71DC"/>
    <w:rsid w:val="000F73D4"/>
    <w:rsid w:val="000F7BB5"/>
    <w:rsid w:val="00100296"/>
    <w:rsid w:val="00100B76"/>
    <w:rsid w:val="00100C42"/>
    <w:rsid w:val="00100F6D"/>
    <w:rsid w:val="001015E3"/>
    <w:rsid w:val="00101CDE"/>
    <w:rsid w:val="001021FA"/>
    <w:rsid w:val="00102448"/>
    <w:rsid w:val="0010255C"/>
    <w:rsid w:val="0010296C"/>
    <w:rsid w:val="00102BE7"/>
    <w:rsid w:val="00102FF9"/>
    <w:rsid w:val="0010307A"/>
    <w:rsid w:val="0010341D"/>
    <w:rsid w:val="0010386C"/>
    <w:rsid w:val="001044F7"/>
    <w:rsid w:val="00104635"/>
    <w:rsid w:val="00104B72"/>
    <w:rsid w:val="00104C2D"/>
    <w:rsid w:val="00104CC6"/>
    <w:rsid w:val="0010514E"/>
    <w:rsid w:val="001052AF"/>
    <w:rsid w:val="00105B47"/>
    <w:rsid w:val="00105BF3"/>
    <w:rsid w:val="00105D97"/>
    <w:rsid w:val="00105F9A"/>
    <w:rsid w:val="0010609F"/>
    <w:rsid w:val="00106F86"/>
    <w:rsid w:val="0010703E"/>
    <w:rsid w:val="0010704A"/>
    <w:rsid w:val="00107508"/>
    <w:rsid w:val="00107CD1"/>
    <w:rsid w:val="0011009E"/>
    <w:rsid w:val="00110798"/>
    <w:rsid w:val="0011093F"/>
    <w:rsid w:val="0011125A"/>
    <w:rsid w:val="0011170B"/>
    <w:rsid w:val="00111E4C"/>
    <w:rsid w:val="00112046"/>
    <w:rsid w:val="001123D6"/>
    <w:rsid w:val="001127CC"/>
    <w:rsid w:val="001129E3"/>
    <w:rsid w:val="00112AA6"/>
    <w:rsid w:val="0011335D"/>
    <w:rsid w:val="001137A9"/>
    <w:rsid w:val="00113A3C"/>
    <w:rsid w:val="00113FB6"/>
    <w:rsid w:val="00114162"/>
    <w:rsid w:val="00114433"/>
    <w:rsid w:val="00114458"/>
    <w:rsid w:val="00114998"/>
    <w:rsid w:val="001149E1"/>
    <w:rsid w:val="00114AF4"/>
    <w:rsid w:val="00115043"/>
    <w:rsid w:val="00115065"/>
    <w:rsid w:val="001150CE"/>
    <w:rsid w:val="001155F9"/>
    <w:rsid w:val="00115F8E"/>
    <w:rsid w:val="00116077"/>
    <w:rsid w:val="00116467"/>
    <w:rsid w:val="00116C57"/>
    <w:rsid w:val="00116E56"/>
    <w:rsid w:val="00116EA7"/>
    <w:rsid w:val="0011784F"/>
    <w:rsid w:val="001178F8"/>
    <w:rsid w:val="00117995"/>
    <w:rsid w:val="00117FD2"/>
    <w:rsid w:val="00120223"/>
    <w:rsid w:val="001202C4"/>
    <w:rsid w:val="00120470"/>
    <w:rsid w:val="001207B5"/>
    <w:rsid w:val="00120CB0"/>
    <w:rsid w:val="00120D38"/>
    <w:rsid w:val="00120E1C"/>
    <w:rsid w:val="0012159F"/>
    <w:rsid w:val="001215ED"/>
    <w:rsid w:val="00121A5B"/>
    <w:rsid w:val="00121BFC"/>
    <w:rsid w:val="00121F1F"/>
    <w:rsid w:val="001221C1"/>
    <w:rsid w:val="001223AD"/>
    <w:rsid w:val="0012251D"/>
    <w:rsid w:val="00122673"/>
    <w:rsid w:val="00122819"/>
    <w:rsid w:val="00122A87"/>
    <w:rsid w:val="00122E4F"/>
    <w:rsid w:val="00122F00"/>
    <w:rsid w:val="001236F4"/>
    <w:rsid w:val="0012379D"/>
    <w:rsid w:val="001238EF"/>
    <w:rsid w:val="00123B87"/>
    <w:rsid w:val="001243EC"/>
    <w:rsid w:val="001244B3"/>
    <w:rsid w:val="001245D9"/>
    <w:rsid w:val="00124C9A"/>
    <w:rsid w:val="00124D17"/>
    <w:rsid w:val="00124DA5"/>
    <w:rsid w:val="0012530C"/>
    <w:rsid w:val="00125799"/>
    <w:rsid w:val="00125F35"/>
    <w:rsid w:val="00125FEC"/>
    <w:rsid w:val="001263F4"/>
    <w:rsid w:val="0012652B"/>
    <w:rsid w:val="001268A1"/>
    <w:rsid w:val="00126AF3"/>
    <w:rsid w:val="0012701C"/>
    <w:rsid w:val="001270F1"/>
    <w:rsid w:val="0012772D"/>
    <w:rsid w:val="00127C3D"/>
    <w:rsid w:val="00127F76"/>
    <w:rsid w:val="0013022F"/>
    <w:rsid w:val="00130A08"/>
    <w:rsid w:val="00131159"/>
    <w:rsid w:val="0013136D"/>
    <w:rsid w:val="001317A4"/>
    <w:rsid w:val="0013235B"/>
    <w:rsid w:val="00132990"/>
    <w:rsid w:val="001336CE"/>
    <w:rsid w:val="0013426E"/>
    <w:rsid w:val="0013434F"/>
    <w:rsid w:val="00134450"/>
    <w:rsid w:val="001344EF"/>
    <w:rsid w:val="001344F6"/>
    <w:rsid w:val="00134D1C"/>
    <w:rsid w:val="001350DC"/>
    <w:rsid w:val="001357B1"/>
    <w:rsid w:val="0013594F"/>
    <w:rsid w:val="001364C3"/>
    <w:rsid w:val="00136531"/>
    <w:rsid w:val="001368CE"/>
    <w:rsid w:val="00136B88"/>
    <w:rsid w:val="00136D4C"/>
    <w:rsid w:val="00136E97"/>
    <w:rsid w:val="0013788A"/>
    <w:rsid w:val="00137890"/>
    <w:rsid w:val="00137D6E"/>
    <w:rsid w:val="0014040F"/>
    <w:rsid w:val="001404DC"/>
    <w:rsid w:val="00140848"/>
    <w:rsid w:val="0014090F"/>
    <w:rsid w:val="001409A2"/>
    <w:rsid w:val="00140A9D"/>
    <w:rsid w:val="00141F22"/>
    <w:rsid w:val="001424AD"/>
    <w:rsid w:val="00142A61"/>
    <w:rsid w:val="0014315E"/>
    <w:rsid w:val="00143258"/>
    <w:rsid w:val="001432E4"/>
    <w:rsid w:val="0014396E"/>
    <w:rsid w:val="00143D1A"/>
    <w:rsid w:val="00143FD3"/>
    <w:rsid w:val="00144306"/>
    <w:rsid w:val="0014479E"/>
    <w:rsid w:val="00144818"/>
    <w:rsid w:val="00144938"/>
    <w:rsid w:val="001449CC"/>
    <w:rsid w:val="00144E0B"/>
    <w:rsid w:val="00145FC6"/>
    <w:rsid w:val="00147259"/>
    <w:rsid w:val="00147501"/>
    <w:rsid w:val="0014787D"/>
    <w:rsid w:val="00147AB5"/>
    <w:rsid w:val="001501E0"/>
    <w:rsid w:val="001507A3"/>
    <w:rsid w:val="0015096F"/>
    <w:rsid w:val="00150C0B"/>
    <w:rsid w:val="00150FF3"/>
    <w:rsid w:val="00151067"/>
    <w:rsid w:val="00151549"/>
    <w:rsid w:val="001515C7"/>
    <w:rsid w:val="001517B1"/>
    <w:rsid w:val="00151F58"/>
    <w:rsid w:val="001522B3"/>
    <w:rsid w:val="001525B4"/>
    <w:rsid w:val="001525DB"/>
    <w:rsid w:val="001527CF"/>
    <w:rsid w:val="00152B7E"/>
    <w:rsid w:val="00152C09"/>
    <w:rsid w:val="0015309C"/>
    <w:rsid w:val="001533D1"/>
    <w:rsid w:val="001534A1"/>
    <w:rsid w:val="0015365A"/>
    <w:rsid w:val="001536A7"/>
    <w:rsid w:val="00153C4E"/>
    <w:rsid w:val="00153EAE"/>
    <w:rsid w:val="0015435B"/>
    <w:rsid w:val="001543C5"/>
    <w:rsid w:val="00154530"/>
    <w:rsid w:val="001545DB"/>
    <w:rsid w:val="001548B6"/>
    <w:rsid w:val="00154C68"/>
    <w:rsid w:val="00154D3C"/>
    <w:rsid w:val="00154E3D"/>
    <w:rsid w:val="00154E83"/>
    <w:rsid w:val="00155F86"/>
    <w:rsid w:val="00155F98"/>
    <w:rsid w:val="00156136"/>
    <w:rsid w:val="00156506"/>
    <w:rsid w:val="0015696C"/>
    <w:rsid w:val="00156FC2"/>
    <w:rsid w:val="00157072"/>
    <w:rsid w:val="00157799"/>
    <w:rsid w:val="00157803"/>
    <w:rsid w:val="0015792B"/>
    <w:rsid w:val="00157D0E"/>
    <w:rsid w:val="0016037E"/>
    <w:rsid w:val="001603DA"/>
    <w:rsid w:val="001604D0"/>
    <w:rsid w:val="00160982"/>
    <w:rsid w:val="00160BC6"/>
    <w:rsid w:val="00160F9A"/>
    <w:rsid w:val="00161D19"/>
    <w:rsid w:val="00161D1A"/>
    <w:rsid w:val="00162A61"/>
    <w:rsid w:val="00162CE4"/>
    <w:rsid w:val="00162D72"/>
    <w:rsid w:val="00163087"/>
    <w:rsid w:val="0016313E"/>
    <w:rsid w:val="0016317F"/>
    <w:rsid w:val="001631FF"/>
    <w:rsid w:val="0016324F"/>
    <w:rsid w:val="00163862"/>
    <w:rsid w:val="00163B98"/>
    <w:rsid w:val="0016434C"/>
    <w:rsid w:val="001644ED"/>
    <w:rsid w:val="0016450B"/>
    <w:rsid w:val="00164595"/>
    <w:rsid w:val="00164AFE"/>
    <w:rsid w:val="0016508B"/>
    <w:rsid w:val="00165249"/>
    <w:rsid w:val="00165286"/>
    <w:rsid w:val="001654A0"/>
    <w:rsid w:val="00165918"/>
    <w:rsid w:val="00165C67"/>
    <w:rsid w:val="00165D17"/>
    <w:rsid w:val="00165F49"/>
    <w:rsid w:val="00166363"/>
    <w:rsid w:val="00166621"/>
    <w:rsid w:val="00166AB4"/>
    <w:rsid w:val="00167056"/>
    <w:rsid w:val="001677B5"/>
    <w:rsid w:val="00167DC8"/>
    <w:rsid w:val="00167EC5"/>
    <w:rsid w:val="001702F7"/>
    <w:rsid w:val="00170775"/>
    <w:rsid w:val="00170AB1"/>
    <w:rsid w:val="00170ABA"/>
    <w:rsid w:val="00170B18"/>
    <w:rsid w:val="00170D30"/>
    <w:rsid w:val="00170F87"/>
    <w:rsid w:val="00171306"/>
    <w:rsid w:val="00171493"/>
    <w:rsid w:val="001714EC"/>
    <w:rsid w:val="001716D2"/>
    <w:rsid w:val="001716E0"/>
    <w:rsid w:val="00171748"/>
    <w:rsid w:val="00171A63"/>
    <w:rsid w:val="00171B81"/>
    <w:rsid w:val="00171BC9"/>
    <w:rsid w:val="00171EF4"/>
    <w:rsid w:val="00172687"/>
    <w:rsid w:val="00172BD9"/>
    <w:rsid w:val="0017373C"/>
    <w:rsid w:val="001738AA"/>
    <w:rsid w:val="00173F88"/>
    <w:rsid w:val="00174419"/>
    <w:rsid w:val="0017456D"/>
    <w:rsid w:val="00174C62"/>
    <w:rsid w:val="001756FD"/>
    <w:rsid w:val="001759F5"/>
    <w:rsid w:val="00175C0C"/>
    <w:rsid w:val="00176D83"/>
    <w:rsid w:val="00176F46"/>
    <w:rsid w:val="00177191"/>
    <w:rsid w:val="001775E8"/>
    <w:rsid w:val="001779BB"/>
    <w:rsid w:val="00177CD0"/>
    <w:rsid w:val="00180546"/>
    <w:rsid w:val="00180D7C"/>
    <w:rsid w:val="00180EAD"/>
    <w:rsid w:val="00181486"/>
    <w:rsid w:val="0018166D"/>
    <w:rsid w:val="00181673"/>
    <w:rsid w:val="0018185A"/>
    <w:rsid w:val="00181BB7"/>
    <w:rsid w:val="001820D8"/>
    <w:rsid w:val="00182949"/>
    <w:rsid w:val="00182B82"/>
    <w:rsid w:val="0018332A"/>
    <w:rsid w:val="001833E5"/>
    <w:rsid w:val="0018348F"/>
    <w:rsid w:val="0018387D"/>
    <w:rsid w:val="00183B1F"/>
    <w:rsid w:val="00183D4B"/>
    <w:rsid w:val="00183E28"/>
    <w:rsid w:val="00183EE2"/>
    <w:rsid w:val="001842A7"/>
    <w:rsid w:val="00184702"/>
    <w:rsid w:val="00184708"/>
    <w:rsid w:val="0018473B"/>
    <w:rsid w:val="00184E84"/>
    <w:rsid w:val="00184F49"/>
    <w:rsid w:val="00185271"/>
    <w:rsid w:val="00185F1D"/>
    <w:rsid w:val="00186DA1"/>
    <w:rsid w:val="00186E07"/>
    <w:rsid w:val="001873A5"/>
    <w:rsid w:val="00187DB7"/>
    <w:rsid w:val="00187F7C"/>
    <w:rsid w:val="00187FB6"/>
    <w:rsid w:val="001901F2"/>
    <w:rsid w:val="0019034E"/>
    <w:rsid w:val="0019037D"/>
    <w:rsid w:val="00190C50"/>
    <w:rsid w:val="00190F1E"/>
    <w:rsid w:val="001911EE"/>
    <w:rsid w:val="00191520"/>
    <w:rsid w:val="0019154E"/>
    <w:rsid w:val="0019175E"/>
    <w:rsid w:val="0019179E"/>
    <w:rsid w:val="00191B81"/>
    <w:rsid w:val="00191CBB"/>
    <w:rsid w:val="00191F6A"/>
    <w:rsid w:val="0019201F"/>
    <w:rsid w:val="001920E6"/>
    <w:rsid w:val="001921DD"/>
    <w:rsid w:val="001926A7"/>
    <w:rsid w:val="00192A66"/>
    <w:rsid w:val="00192CD6"/>
    <w:rsid w:val="00192DE1"/>
    <w:rsid w:val="00193160"/>
    <w:rsid w:val="001934EF"/>
    <w:rsid w:val="001935BE"/>
    <w:rsid w:val="0019373B"/>
    <w:rsid w:val="00193F52"/>
    <w:rsid w:val="00194679"/>
    <w:rsid w:val="0019493E"/>
    <w:rsid w:val="0019496C"/>
    <w:rsid w:val="001950B1"/>
    <w:rsid w:val="00195454"/>
    <w:rsid w:val="00195573"/>
    <w:rsid w:val="001956F0"/>
    <w:rsid w:val="00195CAE"/>
    <w:rsid w:val="00195E02"/>
    <w:rsid w:val="00195E61"/>
    <w:rsid w:val="0019620C"/>
    <w:rsid w:val="001968C2"/>
    <w:rsid w:val="001973D3"/>
    <w:rsid w:val="00197687"/>
    <w:rsid w:val="00197846"/>
    <w:rsid w:val="0019788D"/>
    <w:rsid w:val="00197C30"/>
    <w:rsid w:val="00197FC6"/>
    <w:rsid w:val="001A0A28"/>
    <w:rsid w:val="001A0A4A"/>
    <w:rsid w:val="001A1167"/>
    <w:rsid w:val="001A11B9"/>
    <w:rsid w:val="001A11FF"/>
    <w:rsid w:val="001A1471"/>
    <w:rsid w:val="001A177A"/>
    <w:rsid w:val="001A1F84"/>
    <w:rsid w:val="001A20A5"/>
    <w:rsid w:val="001A26B4"/>
    <w:rsid w:val="001A26F0"/>
    <w:rsid w:val="001A2C3B"/>
    <w:rsid w:val="001A3139"/>
    <w:rsid w:val="001A3249"/>
    <w:rsid w:val="001A32DE"/>
    <w:rsid w:val="001A3813"/>
    <w:rsid w:val="001A3AEB"/>
    <w:rsid w:val="001A4015"/>
    <w:rsid w:val="001A45A6"/>
    <w:rsid w:val="001A45EE"/>
    <w:rsid w:val="001A461A"/>
    <w:rsid w:val="001A4715"/>
    <w:rsid w:val="001A4DB9"/>
    <w:rsid w:val="001A5C39"/>
    <w:rsid w:val="001A6972"/>
    <w:rsid w:val="001A699D"/>
    <w:rsid w:val="001A69A7"/>
    <w:rsid w:val="001A6D62"/>
    <w:rsid w:val="001A7196"/>
    <w:rsid w:val="001A73E2"/>
    <w:rsid w:val="001A74D7"/>
    <w:rsid w:val="001A77A6"/>
    <w:rsid w:val="001A78A5"/>
    <w:rsid w:val="001A7C86"/>
    <w:rsid w:val="001A7E1D"/>
    <w:rsid w:val="001A7E26"/>
    <w:rsid w:val="001B001F"/>
    <w:rsid w:val="001B0248"/>
    <w:rsid w:val="001B056B"/>
    <w:rsid w:val="001B0C44"/>
    <w:rsid w:val="001B0FD3"/>
    <w:rsid w:val="001B179D"/>
    <w:rsid w:val="001B1B23"/>
    <w:rsid w:val="001B2569"/>
    <w:rsid w:val="001B2580"/>
    <w:rsid w:val="001B2664"/>
    <w:rsid w:val="001B2AE5"/>
    <w:rsid w:val="001B312C"/>
    <w:rsid w:val="001B378D"/>
    <w:rsid w:val="001B3910"/>
    <w:rsid w:val="001B39E8"/>
    <w:rsid w:val="001B3C17"/>
    <w:rsid w:val="001B3CF4"/>
    <w:rsid w:val="001B3E07"/>
    <w:rsid w:val="001B4015"/>
    <w:rsid w:val="001B4F2C"/>
    <w:rsid w:val="001B5ED7"/>
    <w:rsid w:val="001B6469"/>
    <w:rsid w:val="001B66D7"/>
    <w:rsid w:val="001B6ED5"/>
    <w:rsid w:val="001B71C0"/>
    <w:rsid w:val="001B73ED"/>
    <w:rsid w:val="001C00B6"/>
    <w:rsid w:val="001C04AA"/>
    <w:rsid w:val="001C0FA2"/>
    <w:rsid w:val="001C103D"/>
    <w:rsid w:val="001C118F"/>
    <w:rsid w:val="001C16F1"/>
    <w:rsid w:val="001C1CAD"/>
    <w:rsid w:val="001C226C"/>
    <w:rsid w:val="001C2FBA"/>
    <w:rsid w:val="001C34A0"/>
    <w:rsid w:val="001C3B7B"/>
    <w:rsid w:val="001C3CED"/>
    <w:rsid w:val="001C3F1D"/>
    <w:rsid w:val="001C42FD"/>
    <w:rsid w:val="001C444F"/>
    <w:rsid w:val="001C4C61"/>
    <w:rsid w:val="001C5040"/>
    <w:rsid w:val="001C58F6"/>
    <w:rsid w:val="001C5968"/>
    <w:rsid w:val="001C5BF4"/>
    <w:rsid w:val="001C5F6B"/>
    <w:rsid w:val="001C5FCF"/>
    <w:rsid w:val="001C6157"/>
    <w:rsid w:val="001C6949"/>
    <w:rsid w:val="001C698C"/>
    <w:rsid w:val="001C72E5"/>
    <w:rsid w:val="001C73AB"/>
    <w:rsid w:val="001C7824"/>
    <w:rsid w:val="001C794D"/>
    <w:rsid w:val="001C7FB4"/>
    <w:rsid w:val="001D0B81"/>
    <w:rsid w:val="001D1435"/>
    <w:rsid w:val="001D1DC5"/>
    <w:rsid w:val="001D2630"/>
    <w:rsid w:val="001D2D77"/>
    <w:rsid w:val="001D30CD"/>
    <w:rsid w:val="001D4113"/>
    <w:rsid w:val="001D431A"/>
    <w:rsid w:val="001D5273"/>
    <w:rsid w:val="001D5478"/>
    <w:rsid w:val="001D5647"/>
    <w:rsid w:val="001D5ADD"/>
    <w:rsid w:val="001D61BA"/>
    <w:rsid w:val="001D64CA"/>
    <w:rsid w:val="001D66D4"/>
    <w:rsid w:val="001D670F"/>
    <w:rsid w:val="001D6AB7"/>
    <w:rsid w:val="001D6E58"/>
    <w:rsid w:val="001D6E63"/>
    <w:rsid w:val="001D7053"/>
    <w:rsid w:val="001D7595"/>
    <w:rsid w:val="001D7786"/>
    <w:rsid w:val="001D78E1"/>
    <w:rsid w:val="001D7916"/>
    <w:rsid w:val="001D7A1A"/>
    <w:rsid w:val="001D7F19"/>
    <w:rsid w:val="001E0480"/>
    <w:rsid w:val="001E06E2"/>
    <w:rsid w:val="001E091A"/>
    <w:rsid w:val="001E0D10"/>
    <w:rsid w:val="001E0EC0"/>
    <w:rsid w:val="001E137D"/>
    <w:rsid w:val="001E1390"/>
    <w:rsid w:val="001E1728"/>
    <w:rsid w:val="001E1D75"/>
    <w:rsid w:val="001E1FE6"/>
    <w:rsid w:val="001E2323"/>
    <w:rsid w:val="001E23CC"/>
    <w:rsid w:val="001E23F4"/>
    <w:rsid w:val="001E29FA"/>
    <w:rsid w:val="001E2A18"/>
    <w:rsid w:val="001E2E7C"/>
    <w:rsid w:val="001E3073"/>
    <w:rsid w:val="001E31D9"/>
    <w:rsid w:val="001E3BC1"/>
    <w:rsid w:val="001E3C5E"/>
    <w:rsid w:val="001E3E9C"/>
    <w:rsid w:val="001E5191"/>
    <w:rsid w:val="001E5C7D"/>
    <w:rsid w:val="001E68A0"/>
    <w:rsid w:val="001E72C1"/>
    <w:rsid w:val="001E773F"/>
    <w:rsid w:val="001F0070"/>
    <w:rsid w:val="001F0113"/>
    <w:rsid w:val="001F0114"/>
    <w:rsid w:val="001F021E"/>
    <w:rsid w:val="001F0BE5"/>
    <w:rsid w:val="001F0FE3"/>
    <w:rsid w:val="001F10B0"/>
    <w:rsid w:val="001F1144"/>
    <w:rsid w:val="001F12A5"/>
    <w:rsid w:val="001F137E"/>
    <w:rsid w:val="001F15F2"/>
    <w:rsid w:val="001F19E5"/>
    <w:rsid w:val="001F2120"/>
    <w:rsid w:val="001F24E4"/>
    <w:rsid w:val="001F2C9E"/>
    <w:rsid w:val="001F2CA6"/>
    <w:rsid w:val="001F3833"/>
    <w:rsid w:val="001F3E14"/>
    <w:rsid w:val="001F426D"/>
    <w:rsid w:val="001F44F3"/>
    <w:rsid w:val="001F4D1E"/>
    <w:rsid w:val="001F5650"/>
    <w:rsid w:val="001F58D9"/>
    <w:rsid w:val="001F5D17"/>
    <w:rsid w:val="001F6426"/>
    <w:rsid w:val="001F6A69"/>
    <w:rsid w:val="001F6D82"/>
    <w:rsid w:val="001F6D94"/>
    <w:rsid w:val="001F7273"/>
    <w:rsid w:val="001F72D9"/>
    <w:rsid w:val="001F7338"/>
    <w:rsid w:val="001F773D"/>
    <w:rsid w:val="001F7CE3"/>
    <w:rsid w:val="00200648"/>
    <w:rsid w:val="00201525"/>
    <w:rsid w:val="0020152C"/>
    <w:rsid w:val="002016C6"/>
    <w:rsid w:val="002019BF"/>
    <w:rsid w:val="00201AC9"/>
    <w:rsid w:val="00201D65"/>
    <w:rsid w:val="00202232"/>
    <w:rsid w:val="002024CC"/>
    <w:rsid w:val="0020256F"/>
    <w:rsid w:val="00203169"/>
    <w:rsid w:val="002031D5"/>
    <w:rsid w:val="0020369E"/>
    <w:rsid w:val="002036C1"/>
    <w:rsid w:val="00203D3E"/>
    <w:rsid w:val="0020436F"/>
    <w:rsid w:val="00204511"/>
    <w:rsid w:val="00204685"/>
    <w:rsid w:val="002047AD"/>
    <w:rsid w:val="00204CAD"/>
    <w:rsid w:val="002051A4"/>
    <w:rsid w:val="002053B0"/>
    <w:rsid w:val="002056B6"/>
    <w:rsid w:val="002056BE"/>
    <w:rsid w:val="002057E9"/>
    <w:rsid w:val="00205971"/>
    <w:rsid w:val="00205BC1"/>
    <w:rsid w:val="00205DC2"/>
    <w:rsid w:val="00205EA4"/>
    <w:rsid w:val="0020634E"/>
    <w:rsid w:val="002065AA"/>
    <w:rsid w:val="00206692"/>
    <w:rsid w:val="00206A46"/>
    <w:rsid w:val="00206B31"/>
    <w:rsid w:val="00206FDC"/>
    <w:rsid w:val="00207087"/>
    <w:rsid w:val="0020713E"/>
    <w:rsid w:val="00207509"/>
    <w:rsid w:val="002078E5"/>
    <w:rsid w:val="00207BB9"/>
    <w:rsid w:val="00207FBF"/>
    <w:rsid w:val="002100DE"/>
    <w:rsid w:val="002104A5"/>
    <w:rsid w:val="00210BE6"/>
    <w:rsid w:val="00210BEF"/>
    <w:rsid w:val="002110FD"/>
    <w:rsid w:val="0021133C"/>
    <w:rsid w:val="00211475"/>
    <w:rsid w:val="00211A16"/>
    <w:rsid w:val="0021229C"/>
    <w:rsid w:val="00212A94"/>
    <w:rsid w:val="00212C38"/>
    <w:rsid w:val="002138D3"/>
    <w:rsid w:val="00213DB8"/>
    <w:rsid w:val="00214A4C"/>
    <w:rsid w:val="00214C55"/>
    <w:rsid w:val="00214DBD"/>
    <w:rsid w:val="0021548A"/>
    <w:rsid w:val="00215650"/>
    <w:rsid w:val="00215DD9"/>
    <w:rsid w:val="00215DE4"/>
    <w:rsid w:val="00215FD8"/>
    <w:rsid w:val="0021652A"/>
    <w:rsid w:val="002177C0"/>
    <w:rsid w:val="00217A8C"/>
    <w:rsid w:val="002201F5"/>
    <w:rsid w:val="0022048D"/>
    <w:rsid w:val="00220A06"/>
    <w:rsid w:val="00220A75"/>
    <w:rsid w:val="00221C00"/>
    <w:rsid w:val="00221F66"/>
    <w:rsid w:val="00222052"/>
    <w:rsid w:val="0022249D"/>
    <w:rsid w:val="0022254F"/>
    <w:rsid w:val="00222FB0"/>
    <w:rsid w:val="002230C3"/>
    <w:rsid w:val="0022368B"/>
    <w:rsid w:val="00223B44"/>
    <w:rsid w:val="00223C2E"/>
    <w:rsid w:val="00223FC9"/>
    <w:rsid w:val="00223FD7"/>
    <w:rsid w:val="00224705"/>
    <w:rsid w:val="00224BDE"/>
    <w:rsid w:val="00224CC8"/>
    <w:rsid w:val="0022513A"/>
    <w:rsid w:val="0022516F"/>
    <w:rsid w:val="00225729"/>
    <w:rsid w:val="00225A04"/>
    <w:rsid w:val="0022647B"/>
    <w:rsid w:val="00226837"/>
    <w:rsid w:val="00227EC9"/>
    <w:rsid w:val="00227EF3"/>
    <w:rsid w:val="00230BCB"/>
    <w:rsid w:val="00230C73"/>
    <w:rsid w:val="002317F2"/>
    <w:rsid w:val="0023195C"/>
    <w:rsid w:val="002319C7"/>
    <w:rsid w:val="00231B3F"/>
    <w:rsid w:val="00232B57"/>
    <w:rsid w:val="00233CBC"/>
    <w:rsid w:val="00233CE5"/>
    <w:rsid w:val="00233D79"/>
    <w:rsid w:val="002340AB"/>
    <w:rsid w:val="00234440"/>
    <w:rsid w:val="00234763"/>
    <w:rsid w:val="002347EA"/>
    <w:rsid w:val="00234907"/>
    <w:rsid w:val="00234C15"/>
    <w:rsid w:val="00234F88"/>
    <w:rsid w:val="00235C1C"/>
    <w:rsid w:val="00236137"/>
    <w:rsid w:val="00236387"/>
    <w:rsid w:val="00236547"/>
    <w:rsid w:val="00236E44"/>
    <w:rsid w:val="002372E2"/>
    <w:rsid w:val="002373A6"/>
    <w:rsid w:val="00237411"/>
    <w:rsid w:val="002374BD"/>
    <w:rsid w:val="00237C77"/>
    <w:rsid w:val="00240AAF"/>
    <w:rsid w:val="00240D0A"/>
    <w:rsid w:val="0024127F"/>
    <w:rsid w:val="0024138B"/>
    <w:rsid w:val="0024141C"/>
    <w:rsid w:val="002414DA"/>
    <w:rsid w:val="002427BC"/>
    <w:rsid w:val="00242A17"/>
    <w:rsid w:val="00242DB4"/>
    <w:rsid w:val="00242FC3"/>
    <w:rsid w:val="00243538"/>
    <w:rsid w:val="002436B0"/>
    <w:rsid w:val="00243786"/>
    <w:rsid w:val="00243B55"/>
    <w:rsid w:val="00243CE0"/>
    <w:rsid w:val="00243D41"/>
    <w:rsid w:val="00244792"/>
    <w:rsid w:val="00244C24"/>
    <w:rsid w:val="00245404"/>
    <w:rsid w:val="00245837"/>
    <w:rsid w:val="002458B7"/>
    <w:rsid w:val="00245A37"/>
    <w:rsid w:val="002463DE"/>
    <w:rsid w:val="00246604"/>
    <w:rsid w:val="00246CD0"/>
    <w:rsid w:val="00247109"/>
    <w:rsid w:val="0024713B"/>
    <w:rsid w:val="0024751C"/>
    <w:rsid w:val="00247B6D"/>
    <w:rsid w:val="0025054E"/>
    <w:rsid w:val="00250611"/>
    <w:rsid w:val="00250A5A"/>
    <w:rsid w:val="00250A63"/>
    <w:rsid w:val="0025105B"/>
    <w:rsid w:val="00251199"/>
    <w:rsid w:val="002514DC"/>
    <w:rsid w:val="002515AA"/>
    <w:rsid w:val="00251694"/>
    <w:rsid w:val="002519B2"/>
    <w:rsid w:val="00251DA3"/>
    <w:rsid w:val="00251E9C"/>
    <w:rsid w:val="00252243"/>
    <w:rsid w:val="002528B7"/>
    <w:rsid w:val="00252BF6"/>
    <w:rsid w:val="00252C40"/>
    <w:rsid w:val="00253272"/>
    <w:rsid w:val="00253632"/>
    <w:rsid w:val="002536A5"/>
    <w:rsid w:val="0025370C"/>
    <w:rsid w:val="002537C3"/>
    <w:rsid w:val="00253804"/>
    <w:rsid w:val="00253C7C"/>
    <w:rsid w:val="00253E77"/>
    <w:rsid w:val="0025454D"/>
    <w:rsid w:val="00254EC4"/>
    <w:rsid w:val="00255649"/>
    <w:rsid w:val="0025589C"/>
    <w:rsid w:val="00255D02"/>
    <w:rsid w:val="00256C54"/>
    <w:rsid w:val="00256CB8"/>
    <w:rsid w:val="00257EC8"/>
    <w:rsid w:val="002600A5"/>
    <w:rsid w:val="002601D5"/>
    <w:rsid w:val="00260521"/>
    <w:rsid w:val="00260989"/>
    <w:rsid w:val="00260B51"/>
    <w:rsid w:val="00260E03"/>
    <w:rsid w:val="00260EF9"/>
    <w:rsid w:val="0026130D"/>
    <w:rsid w:val="0026192E"/>
    <w:rsid w:val="00261EF5"/>
    <w:rsid w:val="002621C1"/>
    <w:rsid w:val="002626D5"/>
    <w:rsid w:val="0026284E"/>
    <w:rsid w:val="00262AC9"/>
    <w:rsid w:val="00262EED"/>
    <w:rsid w:val="002632E1"/>
    <w:rsid w:val="00263767"/>
    <w:rsid w:val="00263C3F"/>
    <w:rsid w:val="00263EF5"/>
    <w:rsid w:val="002643F9"/>
    <w:rsid w:val="002648D3"/>
    <w:rsid w:val="002648ED"/>
    <w:rsid w:val="00265070"/>
    <w:rsid w:val="00265193"/>
    <w:rsid w:val="00265682"/>
    <w:rsid w:val="0026570C"/>
    <w:rsid w:val="00265853"/>
    <w:rsid w:val="00265886"/>
    <w:rsid w:val="002659D6"/>
    <w:rsid w:val="00265D36"/>
    <w:rsid w:val="00265DBF"/>
    <w:rsid w:val="00265DDA"/>
    <w:rsid w:val="00265E0F"/>
    <w:rsid w:val="00266736"/>
    <w:rsid w:val="00266A72"/>
    <w:rsid w:val="00266EE4"/>
    <w:rsid w:val="00267103"/>
    <w:rsid w:val="00267965"/>
    <w:rsid w:val="00267A79"/>
    <w:rsid w:val="00267D5C"/>
    <w:rsid w:val="00270304"/>
    <w:rsid w:val="0027031E"/>
    <w:rsid w:val="002703EF"/>
    <w:rsid w:val="00270454"/>
    <w:rsid w:val="00270E40"/>
    <w:rsid w:val="00270F3C"/>
    <w:rsid w:val="00271187"/>
    <w:rsid w:val="002716CD"/>
    <w:rsid w:val="00271B5C"/>
    <w:rsid w:val="00271BC9"/>
    <w:rsid w:val="00271CB7"/>
    <w:rsid w:val="00271E1C"/>
    <w:rsid w:val="00271FC8"/>
    <w:rsid w:val="002726FA"/>
    <w:rsid w:val="00272A41"/>
    <w:rsid w:val="00272F2B"/>
    <w:rsid w:val="0027339E"/>
    <w:rsid w:val="002733E5"/>
    <w:rsid w:val="002736CD"/>
    <w:rsid w:val="002737AD"/>
    <w:rsid w:val="0027385C"/>
    <w:rsid w:val="00273C97"/>
    <w:rsid w:val="00273E8D"/>
    <w:rsid w:val="0027440F"/>
    <w:rsid w:val="002744FB"/>
    <w:rsid w:val="00274508"/>
    <w:rsid w:val="00274529"/>
    <w:rsid w:val="0027485F"/>
    <w:rsid w:val="00274B73"/>
    <w:rsid w:val="00274E41"/>
    <w:rsid w:val="002753FB"/>
    <w:rsid w:val="0027586C"/>
    <w:rsid w:val="00275A22"/>
    <w:rsid w:val="00275D8D"/>
    <w:rsid w:val="00275DEF"/>
    <w:rsid w:val="002760C0"/>
    <w:rsid w:val="0027650A"/>
    <w:rsid w:val="002766F2"/>
    <w:rsid w:val="00276D34"/>
    <w:rsid w:val="00276D59"/>
    <w:rsid w:val="00276DF6"/>
    <w:rsid w:val="00276ED3"/>
    <w:rsid w:val="002773D9"/>
    <w:rsid w:val="00277682"/>
    <w:rsid w:val="002808E6"/>
    <w:rsid w:val="00280CF9"/>
    <w:rsid w:val="002812FC"/>
    <w:rsid w:val="0028133C"/>
    <w:rsid w:val="002814CE"/>
    <w:rsid w:val="002814D4"/>
    <w:rsid w:val="0028155A"/>
    <w:rsid w:val="0028192E"/>
    <w:rsid w:val="00281B2F"/>
    <w:rsid w:val="00281D2E"/>
    <w:rsid w:val="00282049"/>
    <w:rsid w:val="00282682"/>
    <w:rsid w:val="00282728"/>
    <w:rsid w:val="0028290F"/>
    <w:rsid w:val="0028298E"/>
    <w:rsid w:val="00282BC7"/>
    <w:rsid w:val="00282FAB"/>
    <w:rsid w:val="002836BE"/>
    <w:rsid w:val="00283E91"/>
    <w:rsid w:val="002843D9"/>
    <w:rsid w:val="00284AC7"/>
    <w:rsid w:val="0028500C"/>
    <w:rsid w:val="002852F8"/>
    <w:rsid w:val="002856AD"/>
    <w:rsid w:val="002858E4"/>
    <w:rsid w:val="002859C3"/>
    <w:rsid w:val="00285C67"/>
    <w:rsid w:val="00285C80"/>
    <w:rsid w:val="00285D26"/>
    <w:rsid w:val="00285DB4"/>
    <w:rsid w:val="00285EE7"/>
    <w:rsid w:val="00286138"/>
    <w:rsid w:val="002862C8"/>
    <w:rsid w:val="0028659F"/>
    <w:rsid w:val="00286CCD"/>
    <w:rsid w:val="00286DFE"/>
    <w:rsid w:val="00287102"/>
    <w:rsid w:val="00287370"/>
    <w:rsid w:val="00287CA9"/>
    <w:rsid w:val="00290510"/>
    <w:rsid w:val="002908CE"/>
    <w:rsid w:val="00291719"/>
    <w:rsid w:val="00291DA7"/>
    <w:rsid w:val="00291DCA"/>
    <w:rsid w:val="00291DCF"/>
    <w:rsid w:val="00291F36"/>
    <w:rsid w:val="00292C5A"/>
    <w:rsid w:val="00292C81"/>
    <w:rsid w:val="0029303B"/>
    <w:rsid w:val="0029372C"/>
    <w:rsid w:val="00293760"/>
    <w:rsid w:val="002938A6"/>
    <w:rsid w:val="00293906"/>
    <w:rsid w:val="00293951"/>
    <w:rsid w:val="00294950"/>
    <w:rsid w:val="00294EE3"/>
    <w:rsid w:val="002950EC"/>
    <w:rsid w:val="00295688"/>
    <w:rsid w:val="00295C0F"/>
    <w:rsid w:val="00295FE5"/>
    <w:rsid w:val="00296595"/>
    <w:rsid w:val="002965A0"/>
    <w:rsid w:val="0029666C"/>
    <w:rsid w:val="00296752"/>
    <w:rsid w:val="00296D89"/>
    <w:rsid w:val="0029708D"/>
    <w:rsid w:val="002978B7"/>
    <w:rsid w:val="00297AAA"/>
    <w:rsid w:val="00297C1A"/>
    <w:rsid w:val="002A018C"/>
    <w:rsid w:val="002A0273"/>
    <w:rsid w:val="002A0DC7"/>
    <w:rsid w:val="002A0E3A"/>
    <w:rsid w:val="002A1178"/>
    <w:rsid w:val="002A12B4"/>
    <w:rsid w:val="002A18DB"/>
    <w:rsid w:val="002A1A68"/>
    <w:rsid w:val="002A1A95"/>
    <w:rsid w:val="002A1D3B"/>
    <w:rsid w:val="002A1EE5"/>
    <w:rsid w:val="002A23AD"/>
    <w:rsid w:val="002A25A7"/>
    <w:rsid w:val="002A2920"/>
    <w:rsid w:val="002A36AE"/>
    <w:rsid w:val="002A3869"/>
    <w:rsid w:val="002A38E4"/>
    <w:rsid w:val="002A3F34"/>
    <w:rsid w:val="002A3FC6"/>
    <w:rsid w:val="002A41E5"/>
    <w:rsid w:val="002A42A8"/>
    <w:rsid w:val="002A4668"/>
    <w:rsid w:val="002A4EE3"/>
    <w:rsid w:val="002A5673"/>
    <w:rsid w:val="002A58D2"/>
    <w:rsid w:val="002A58D5"/>
    <w:rsid w:val="002A5ED2"/>
    <w:rsid w:val="002A6287"/>
    <w:rsid w:val="002A6530"/>
    <w:rsid w:val="002A7190"/>
    <w:rsid w:val="002A7899"/>
    <w:rsid w:val="002A79D2"/>
    <w:rsid w:val="002A7E0A"/>
    <w:rsid w:val="002B0112"/>
    <w:rsid w:val="002B0121"/>
    <w:rsid w:val="002B07B2"/>
    <w:rsid w:val="002B07FA"/>
    <w:rsid w:val="002B0864"/>
    <w:rsid w:val="002B08FA"/>
    <w:rsid w:val="002B0908"/>
    <w:rsid w:val="002B0BA4"/>
    <w:rsid w:val="002B0BAC"/>
    <w:rsid w:val="002B0F2E"/>
    <w:rsid w:val="002B1236"/>
    <w:rsid w:val="002B15D9"/>
    <w:rsid w:val="002B1730"/>
    <w:rsid w:val="002B1EA3"/>
    <w:rsid w:val="002B20B2"/>
    <w:rsid w:val="002B2117"/>
    <w:rsid w:val="002B2230"/>
    <w:rsid w:val="002B26FE"/>
    <w:rsid w:val="002B2890"/>
    <w:rsid w:val="002B2B95"/>
    <w:rsid w:val="002B3438"/>
    <w:rsid w:val="002B36A8"/>
    <w:rsid w:val="002B39E0"/>
    <w:rsid w:val="002B3C68"/>
    <w:rsid w:val="002B3DD0"/>
    <w:rsid w:val="002B3E86"/>
    <w:rsid w:val="002B3F86"/>
    <w:rsid w:val="002B43E3"/>
    <w:rsid w:val="002B4450"/>
    <w:rsid w:val="002B47E9"/>
    <w:rsid w:val="002B49D1"/>
    <w:rsid w:val="002B5236"/>
    <w:rsid w:val="002B5597"/>
    <w:rsid w:val="002B5792"/>
    <w:rsid w:val="002B5D1F"/>
    <w:rsid w:val="002B6011"/>
    <w:rsid w:val="002B613B"/>
    <w:rsid w:val="002B6A01"/>
    <w:rsid w:val="002B6C86"/>
    <w:rsid w:val="002B71A7"/>
    <w:rsid w:val="002B74CE"/>
    <w:rsid w:val="002B76D0"/>
    <w:rsid w:val="002B7BB7"/>
    <w:rsid w:val="002B7F6C"/>
    <w:rsid w:val="002C03F3"/>
    <w:rsid w:val="002C0581"/>
    <w:rsid w:val="002C0758"/>
    <w:rsid w:val="002C0828"/>
    <w:rsid w:val="002C084C"/>
    <w:rsid w:val="002C0B5C"/>
    <w:rsid w:val="002C13D2"/>
    <w:rsid w:val="002C1755"/>
    <w:rsid w:val="002C176D"/>
    <w:rsid w:val="002C182F"/>
    <w:rsid w:val="002C18BD"/>
    <w:rsid w:val="002C21AB"/>
    <w:rsid w:val="002C2308"/>
    <w:rsid w:val="002C23B1"/>
    <w:rsid w:val="002C2417"/>
    <w:rsid w:val="002C26AA"/>
    <w:rsid w:val="002C2ED5"/>
    <w:rsid w:val="002C336E"/>
    <w:rsid w:val="002C369A"/>
    <w:rsid w:val="002C37FE"/>
    <w:rsid w:val="002C385C"/>
    <w:rsid w:val="002C3EF1"/>
    <w:rsid w:val="002C3F54"/>
    <w:rsid w:val="002C45B0"/>
    <w:rsid w:val="002C46DC"/>
    <w:rsid w:val="002C46FD"/>
    <w:rsid w:val="002C4C36"/>
    <w:rsid w:val="002C4D4E"/>
    <w:rsid w:val="002C4D5C"/>
    <w:rsid w:val="002C4E3A"/>
    <w:rsid w:val="002C5143"/>
    <w:rsid w:val="002C5980"/>
    <w:rsid w:val="002C61F8"/>
    <w:rsid w:val="002C6649"/>
    <w:rsid w:val="002C673D"/>
    <w:rsid w:val="002C6B5E"/>
    <w:rsid w:val="002C7232"/>
    <w:rsid w:val="002C7BD1"/>
    <w:rsid w:val="002D0170"/>
    <w:rsid w:val="002D05EC"/>
    <w:rsid w:val="002D099C"/>
    <w:rsid w:val="002D0C20"/>
    <w:rsid w:val="002D0C54"/>
    <w:rsid w:val="002D0DA1"/>
    <w:rsid w:val="002D1208"/>
    <w:rsid w:val="002D180A"/>
    <w:rsid w:val="002D184E"/>
    <w:rsid w:val="002D1925"/>
    <w:rsid w:val="002D1DAE"/>
    <w:rsid w:val="002D3290"/>
    <w:rsid w:val="002D365D"/>
    <w:rsid w:val="002D38C7"/>
    <w:rsid w:val="002D3912"/>
    <w:rsid w:val="002D3C3F"/>
    <w:rsid w:val="002D3F16"/>
    <w:rsid w:val="002D46D0"/>
    <w:rsid w:val="002D48B8"/>
    <w:rsid w:val="002D4C5C"/>
    <w:rsid w:val="002D5113"/>
    <w:rsid w:val="002D57D1"/>
    <w:rsid w:val="002D5949"/>
    <w:rsid w:val="002D5D70"/>
    <w:rsid w:val="002D6394"/>
    <w:rsid w:val="002D6420"/>
    <w:rsid w:val="002D6C38"/>
    <w:rsid w:val="002D7B4D"/>
    <w:rsid w:val="002E0A2C"/>
    <w:rsid w:val="002E0A66"/>
    <w:rsid w:val="002E13AF"/>
    <w:rsid w:val="002E14D4"/>
    <w:rsid w:val="002E15A1"/>
    <w:rsid w:val="002E1679"/>
    <w:rsid w:val="002E17D4"/>
    <w:rsid w:val="002E1C25"/>
    <w:rsid w:val="002E200C"/>
    <w:rsid w:val="002E2590"/>
    <w:rsid w:val="002E285D"/>
    <w:rsid w:val="002E2B24"/>
    <w:rsid w:val="002E2B8B"/>
    <w:rsid w:val="002E2CEC"/>
    <w:rsid w:val="002E2E93"/>
    <w:rsid w:val="002E3182"/>
    <w:rsid w:val="002E35BD"/>
    <w:rsid w:val="002E403E"/>
    <w:rsid w:val="002E4880"/>
    <w:rsid w:val="002E518D"/>
    <w:rsid w:val="002E51FF"/>
    <w:rsid w:val="002E580E"/>
    <w:rsid w:val="002E5971"/>
    <w:rsid w:val="002E5BE4"/>
    <w:rsid w:val="002E5D3D"/>
    <w:rsid w:val="002E5D40"/>
    <w:rsid w:val="002E5EB9"/>
    <w:rsid w:val="002E618D"/>
    <w:rsid w:val="002E62E8"/>
    <w:rsid w:val="002E65B2"/>
    <w:rsid w:val="002E6CA5"/>
    <w:rsid w:val="002E70FD"/>
    <w:rsid w:val="002E74E2"/>
    <w:rsid w:val="002E7C28"/>
    <w:rsid w:val="002F069E"/>
    <w:rsid w:val="002F0868"/>
    <w:rsid w:val="002F1B40"/>
    <w:rsid w:val="002F1E75"/>
    <w:rsid w:val="002F2176"/>
    <w:rsid w:val="002F25D8"/>
    <w:rsid w:val="002F2869"/>
    <w:rsid w:val="002F2DF2"/>
    <w:rsid w:val="002F3D33"/>
    <w:rsid w:val="002F3FC9"/>
    <w:rsid w:val="002F3FE2"/>
    <w:rsid w:val="002F41EF"/>
    <w:rsid w:val="002F4EDF"/>
    <w:rsid w:val="002F5355"/>
    <w:rsid w:val="002F5364"/>
    <w:rsid w:val="002F5420"/>
    <w:rsid w:val="002F5BF5"/>
    <w:rsid w:val="002F5EEE"/>
    <w:rsid w:val="002F65B3"/>
    <w:rsid w:val="002F6997"/>
    <w:rsid w:val="002F6B78"/>
    <w:rsid w:val="002F6D34"/>
    <w:rsid w:val="002F6E7B"/>
    <w:rsid w:val="002F7042"/>
    <w:rsid w:val="002F7076"/>
    <w:rsid w:val="002F740C"/>
    <w:rsid w:val="003001EE"/>
    <w:rsid w:val="00300863"/>
    <w:rsid w:val="00301850"/>
    <w:rsid w:val="00301A08"/>
    <w:rsid w:val="00301A45"/>
    <w:rsid w:val="00302316"/>
    <w:rsid w:val="00302338"/>
    <w:rsid w:val="003023BC"/>
    <w:rsid w:val="00302710"/>
    <w:rsid w:val="00303099"/>
    <w:rsid w:val="003030F2"/>
    <w:rsid w:val="00303184"/>
    <w:rsid w:val="0030357D"/>
    <w:rsid w:val="003036AA"/>
    <w:rsid w:val="00303D16"/>
    <w:rsid w:val="00303DED"/>
    <w:rsid w:val="00303E3E"/>
    <w:rsid w:val="0030417F"/>
    <w:rsid w:val="003041A6"/>
    <w:rsid w:val="0030443A"/>
    <w:rsid w:val="00304845"/>
    <w:rsid w:val="003048ED"/>
    <w:rsid w:val="00305947"/>
    <w:rsid w:val="00305AD8"/>
    <w:rsid w:val="00305DEB"/>
    <w:rsid w:val="00305FD0"/>
    <w:rsid w:val="003060DD"/>
    <w:rsid w:val="0030620E"/>
    <w:rsid w:val="00306444"/>
    <w:rsid w:val="00306479"/>
    <w:rsid w:val="00307354"/>
    <w:rsid w:val="0030792B"/>
    <w:rsid w:val="00307EED"/>
    <w:rsid w:val="00310C40"/>
    <w:rsid w:val="00310E7B"/>
    <w:rsid w:val="003110E0"/>
    <w:rsid w:val="00311500"/>
    <w:rsid w:val="00311AEF"/>
    <w:rsid w:val="0031245C"/>
    <w:rsid w:val="00313264"/>
    <w:rsid w:val="0031385B"/>
    <w:rsid w:val="003142C8"/>
    <w:rsid w:val="00314524"/>
    <w:rsid w:val="00314752"/>
    <w:rsid w:val="00314CA2"/>
    <w:rsid w:val="00314FC1"/>
    <w:rsid w:val="00315B0F"/>
    <w:rsid w:val="003169C9"/>
    <w:rsid w:val="00316EBC"/>
    <w:rsid w:val="00316FED"/>
    <w:rsid w:val="0031707C"/>
    <w:rsid w:val="003171FC"/>
    <w:rsid w:val="00317576"/>
    <w:rsid w:val="003175F0"/>
    <w:rsid w:val="00317978"/>
    <w:rsid w:val="00317C12"/>
    <w:rsid w:val="00320809"/>
    <w:rsid w:val="0032083E"/>
    <w:rsid w:val="00320951"/>
    <w:rsid w:val="00320B73"/>
    <w:rsid w:val="00321688"/>
    <w:rsid w:val="00321942"/>
    <w:rsid w:val="00321FC9"/>
    <w:rsid w:val="00322690"/>
    <w:rsid w:val="00322D34"/>
    <w:rsid w:val="00323696"/>
    <w:rsid w:val="00323876"/>
    <w:rsid w:val="003238A0"/>
    <w:rsid w:val="00323DCF"/>
    <w:rsid w:val="00323E34"/>
    <w:rsid w:val="00324123"/>
    <w:rsid w:val="00324193"/>
    <w:rsid w:val="0032426C"/>
    <w:rsid w:val="00324A76"/>
    <w:rsid w:val="00324B97"/>
    <w:rsid w:val="00325290"/>
    <w:rsid w:val="0032543E"/>
    <w:rsid w:val="00325EA9"/>
    <w:rsid w:val="00325EAA"/>
    <w:rsid w:val="003263B9"/>
    <w:rsid w:val="00327111"/>
    <w:rsid w:val="00327123"/>
    <w:rsid w:val="0032715A"/>
    <w:rsid w:val="0033007B"/>
    <w:rsid w:val="0033067A"/>
    <w:rsid w:val="00330797"/>
    <w:rsid w:val="0033079B"/>
    <w:rsid w:val="00330BBB"/>
    <w:rsid w:val="00330EED"/>
    <w:rsid w:val="00331035"/>
    <w:rsid w:val="0033114F"/>
    <w:rsid w:val="003312F2"/>
    <w:rsid w:val="0033140C"/>
    <w:rsid w:val="00331631"/>
    <w:rsid w:val="00331EF2"/>
    <w:rsid w:val="003322CE"/>
    <w:rsid w:val="0033262D"/>
    <w:rsid w:val="00332857"/>
    <w:rsid w:val="00332D6C"/>
    <w:rsid w:val="003344A2"/>
    <w:rsid w:val="0033489D"/>
    <w:rsid w:val="003349D5"/>
    <w:rsid w:val="00334C2F"/>
    <w:rsid w:val="00334C67"/>
    <w:rsid w:val="00334F74"/>
    <w:rsid w:val="00335144"/>
    <w:rsid w:val="0033537D"/>
    <w:rsid w:val="00335512"/>
    <w:rsid w:val="003356E0"/>
    <w:rsid w:val="00335702"/>
    <w:rsid w:val="003357EF"/>
    <w:rsid w:val="003365DB"/>
    <w:rsid w:val="003368E9"/>
    <w:rsid w:val="003369D9"/>
    <w:rsid w:val="00336BFB"/>
    <w:rsid w:val="00336EEE"/>
    <w:rsid w:val="003376F9"/>
    <w:rsid w:val="00337818"/>
    <w:rsid w:val="00337967"/>
    <w:rsid w:val="00337A28"/>
    <w:rsid w:val="00341E43"/>
    <w:rsid w:val="00342011"/>
    <w:rsid w:val="00342049"/>
    <w:rsid w:val="00342621"/>
    <w:rsid w:val="00342711"/>
    <w:rsid w:val="0034286B"/>
    <w:rsid w:val="003428E5"/>
    <w:rsid w:val="00343169"/>
    <w:rsid w:val="0034346E"/>
    <w:rsid w:val="00343506"/>
    <w:rsid w:val="00343628"/>
    <w:rsid w:val="00343690"/>
    <w:rsid w:val="00343CFF"/>
    <w:rsid w:val="003442F7"/>
    <w:rsid w:val="003448D5"/>
    <w:rsid w:val="00344C76"/>
    <w:rsid w:val="00344D9D"/>
    <w:rsid w:val="00344DAD"/>
    <w:rsid w:val="00344F3E"/>
    <w:rsid w:val="0034533C"/>
    <w:rsid w:val="0034596C"/>
    <w:rsid w:val="00345AFE"/>
    <w:rsid w:val="003466FF"/>
    <w:rsid w:val="003469BA"/>
    <w:rsid w:val="00346BA2"/>
    <w:rsid w:val="00346FB1"/>
    <w:rsid w:val="003470C3"/>
    <w:rsid w:val="00347595"/>
    <w:rsid w:val="00347968"/>
    <w:rsid w:val="00347E4A"/>
    <w:rsid w:val="00347E73"/>
    <w:rsid w:val="00347EB1"/>
    <w:rsid w:val="00347FB4"/>
    <w:rsid w:val="0035055D"/>
    <w:rsid w:val="00350808"/>
    <w:rsid w:val="00350C15"/>
    <w:rsid w:val="003512E1"/>
    <w:rsid w:val="0035163C"/>
    <w:rsid w:val="00351656"/>
    <w:rsid w:val="00351A9A"/>
    <w:rsid w:val="00352436"/>
    <w:rsid w:val="003524E7"/>
    <w:rsid w:val="00352CDB"/>
    <w:rsid w:val="003530ED"/>
    <w:rsid w:val="003532A2"/>
    <w:rsid w:val="0035393E"/>
    <w:rsid w:val="00354476"/>
    <w:rsid w:val="00354BBD"/>
    <w:rsid w:val="00354D40"/>
    <w:rsid w:val="00355278"/>
    <w:rsid w:val="00356304"/>
    <w:rsid w:val="003565E6"/>
    <w:rsid w:val="00356982"/>
    <w:rsid w:val="00356B75"/>
    <w:rsid w:val="00357849"/>
    <w:rsid w:val="00357EE0"/>
    <w:rsid w:val="00360AF2"/>
    <w:rsid w:val="00360E73"/>
    <w:rsid w:val="003610F5"/>
    <w:rsid w:val="0036229C"/>
    <w:rsid w:val="00362354"/>
    <w:rsid w:val="00362500"/>
    <w:rsid w:val="003628BE"/>
    <w:rsid w:val="00362FB5"/>
    <w:rsid w:val="003636B8"/>
    <w:rsid w:val="00363E62"/>
    <w:rsid w:val="00363F97"/>
    <w:rsid w:val="00364217"/>
    <w:rsid w:val="003643BA"/>
    <w:rsid w:val="00364639"/>
    <w:rsid w:val="00364A4A"/>
    <w:rsid w:val="00364DE2"/>
    <w:rsid w:val="00364E1E"/>
    <w:rsid w:val="00364EA6"/>
    <w:rsid w:val="003655A2"/>
    <w:rsid w:val="00365FBD"/>
    <w:rsid w:val="00365FEB"/>
    <w:rsid w:val="0036613C"/>
    <w:rsid w:val="00366212"/>
    <w:rsid w:val="00366FBD"/>
    <w:rsid w:val="0036703F"/>
    <w:rsid w:val="003670DA"/>
    <w:rsid w:val="00367187"/>
    <w:rsid w:val="0036774C"/>
    <w:rsid w:val="00367A07"/>
    <w:rsid w:val="00367A6D"/>
    <w:rsid w:val="00367A6F"/>
    <w:rsid w:val="003709BF"/>
    <w:rsid w:val="0037111C"/>
    <w:rsid w:val="00371320"/>
    <w:rsid w:val="0037155C"/>
    <w:rsid w:val="00371CF4"/>
    <w:rsid w:val="00372065"/>
    <w:rsid w:val="00372738"/>
    <w:rsid w:val="00372B8E"/>
    <w:rsid w:val="00372BFA"/>
    <w:rsid w:val="003733E6"/>
    <w:rsid w:val="00373467"/>
    <w:rsid w:val="00373594"/>
    <w:rsid w:val="00373A8E"/>
    <w:rsid w:val="003745B0"/>
    <w:rsid w:val="003746DF"/>
    <w:rsid w:val="00374AE1"/>
    <w:rsid w:val="00374C79"/>
    <w:rsid w:val="003751BE"/>
    <w:rsid w:val="00375973"/>
    <w:rsid w:val="0037597E"/>
    <w:rsid w:val="003759D9"/>
    <w:rsid w:val="00375AF7"/>
    <w:rsid w:val="003760CA"/>
    <w:rsid w:val="003763BB"/>
    <w:rsid w:val="003767D8"/>
    <w:rsid w:val="00376BEF"/>
    <w:rsid w:val="0037717B"/>
    <w:rsid w:val="00377BB5"/>
    <w:rsid w:val="00380380"/>
    <w:rsid w:val="00380992"/>
    <w:rsid w:val="00381072"/>
    <w:rsid w:val="00381171"/>
    <w:rsid w:val="00381368"/>
    <w:rsid w:val="00381796"/>
    <w:rsid w:val="00381820"/>
    <w:rsid w:val="00381B4E"/>
    <w:rsid w:val="00381F8E"/>
    <w:rsid w:val="00382376"/>
    <w:rsid w:val="00382730"/>
    <w:rsid w:val="00382EAA"/>
    <w:rsid w:val="00382ED4"/>
    <w:rsid w:val="00382F83"/>
    <w:rsid w:val="003833CC"/>
    <w:rsid w:val="00383431"/>
    <w:rsid w:val="003837D8"/>
    <w:rsid w:val="0038381A"/>
    <w:rsid w:val="00383C8F"/>
    <w:rsid w:val="003847AF"/>
    <w:rsid w:val="003848B8"/>
    <w:rsid w:val="0038498F"/>
    <w:rsid w:val="00384A13"/>
    <w:rsid w:val="00384EAF"/>
    <w:rsid w:val="0038525D"/>
    <w:rsid w:val="00385F8B"/>
    <w:rsid w:val="00385FA6"/>
    <w:rsid w:val="00386175"/>
    <w:rsid w:val="003861CD"/>
    <w:rsid w:val="0038624E"/>
    <w:rsid w:val="00386445"/>
    <w:rsid w:val="0038665B"/>
    <w:rsid w:val="00386A35"/>
    <w:rsid w:val="003909CA"/>
    <w:rsid w:val="00390FFC"/>
    <w:rsid w:val="003910A6"/>
    <w:rsid w:val="00392505"/>
    <w:rsid w:val="00392691"/>
    <w:rsid w:val="003929F5"/>
    <w:rsid w:val="003930FB"/>
    <w:rsid w:val="00393127"/>
    <w:rsid w:val="003938CB"/>
    <w:rsid w:val="003939B1"/>
    <w:rsid w:val="00393D0E"/>
    <w:rsid w:val="00394269"/>
    <w:rsid w:val="00394652"/>
    <w:rsid w:val="00394D90"/>
    <w:rsid w:val="003952C0"/>
    <w:rsid w:val="00395374"/>
    <w:rsid w:val="0039547E"/>
    <w:rsid w:val="00395501"/>
    <w:rsid w:val="00395E0C"/>
    <w:rsid w:val="0039607A"/>
    <w:rsid w:val="003962CC"/>
    <w:rsid w:val="00396329"/>
    <w:rsid w:val="00396790"/>
    <w:rsid w:val="003968F3"/>
    <w:rsid w:val="0039746D"/>
    <w:rsid w:val="0039750D"/>
    <w:rsid w:val="0039778F"/>
    <w:rsid w:val="00397B28"/>
    <w:rsid w:val="003A0498"/>
    <w:rsid w:val="003A08C5"/>
    <w:rsid w:val="003A0904"/>
    <w:rsid w:val="003A0AF7"/>
    <w:rsid w:val="003A0CCC"/>
    <w:rsid w:val="003A0F85"/>
    <w:rsid w:val="003A151C"/>
    <w:rsid w:val="003A16BC"/>
    <w:rsid w:val="003A1D35"/>
    <w:rsid w:val="003A21D4"/>
    <w:rsid w:val="003A27FF"/>
    <w:rsid w:val="003A28C0"/>
    <w:rsid w:val="003A2A9F"/>
    <w:rsid w:val="003A2B74"/>
    <w:rsid w:val="003A2E90"/>
    <w:rsid w:val="003A31BA"/>
    <w:rsid w:val="003A35B0"/>
    <w:rsid w:val="003A3B5F"/>
    <w:rsid w:val="003A4169"/>
    <w:rsid w:val="003A4515"/>
    <w:rsid w:val="003A4A2B"/>
    <w:rsid w:val="003A4DA8"/>
    <w:rsid w:val="003A506E"/>
    <w:rsid w:val="003A57BB"/>
    <w:rsid w:val="003A5EB9"/>
    <w:rsid w:val="003A5F33"/>
    <w:rsid w:val="003A6166"/>
    <w:rsid w:val="003A6445"/>
    <w:rsid w:val="003A6880"/>
    <w:rsid w:val="003A69A7"/>
    <w:rsid w:val="003A6B82"/>
    <w:rsid w:val="003A6C0D"/>
    <w:rsid w:val="003A6F33"/>
    <w:rsid w:val="003A707D"/>
    <w:rsid w:val="003A7427"/>
    <w:rsid w:val="003A78E9"/>
    <w:rsid w:val="003B02EC"/>
    <w:rsid w:val="003B0528"/>
    <w:rsid w:val="003B0BC3"/>
    <w:rsid w:val="003B2314"/>
    <w:rsid w:val="003B2508"/>
    <w:rsid w:val="003B3048"/>
    <w:rsid w:val="003B384F"/>
    <w:rsid w:val="003B3DA7"/>
    <w:rsid w:val="003B4188"/>
    <w:rsid w:val="003B48E8"/>
    <w:rsid w:val="003B5774"/>
    <w:rsid w:val="003B5AF2"/>
    <w:rsid w:val="003B6941"/>
    <w:rsid w:val="003B6F77"/>
    <w:rsid w:val="003B7025"/>
    <w:rsid w:val="003B71BD"/>
    <w:rsid w:val="003B78E3"/>
    <w:rsid w:val="003C036C"/>
    <w:rsid w:val="003C038A"/>
    <w:rsid w:val="003C05D4"/>
    <w:rsid w:val="003C0A2D"/>
    <w:rsid w:val="003C0CD4"/>
    <w:rsid w:val="003C1284"/>
    <w:rsid w:val="003C12E9"/>
    <w:rsid w:val="003C1B8B"/>
    <w:rsid w:val="003C1D71"/>
    <w:rsid w:val="003C2248"/>
    <w:rsid w:val="003C2802"/>
    <w:rsid w:val="003C284D"/>
    <w:rsid w:val="003C29A8"/>
    <w:rsid w:val="003C2C90"/>
    <w:rsid w:val="003C2E68"/>
    <w:rsid w:val="003C361F"/>
    <w:rsid w:val="003C3683"/>
    <w:rsid w:val="003C3881"/>
    <w:rsid w:val="003C39FE"/>
    <w:rsid w:val="003C3AEB"/>
    <w:rsid w:val="003C3B11"/>
    <w:rsid w:val="003C3CBF"/>
    <w:rsid w:val="003C3E1B"/>
    <w:rsid w:val="003C4252"/>
    <w:rsid w:val="003C43A4"/>
    <w:rsid w:val="003C447F"/>
    <w:rsid w:val="003C4664"/>
    <w:rsid w:val="003C49AF"/>
    <w:rsid w:val="003C5884"/>
    <w:rsid w:val="003C58CC"/>
    <w:rsid w:val="003C5C98"/>
    <w:rsid w:val="003C5E05"/>
    <w:rsid w:val="003C5E1F"/>
    <w:rsid w:val="003C5EF7"/>
    <w:rsid w:val="003C674C"/>
    <w:rsid w:val="003C6C37"/>
    <w:rsid w:val="003C6E69"/>
    <w:rsid w:val="003C7061"/>
    <w:rsid w:val="003C7289"/>
    <w:rsid w:val="003C77E4"/>
    <w:rsid w:val="003C7B46"/>
    <w:rsid w:val="003C7FB5"/>
    <w:rsid w:val="003D0443"/>
    <w:rsid w:val="003D08E5"/>
    <w:rsid w:val="003D09A2"/>
    <w:rsid w:val="003D0B24"/>
    <w:rsid w:val="003D0DD7"/>
    <w:rsid w:val="003D106F"/>
    <w:rsid w:val="003D11AA"/>
    <w:rsid w:val="003D18BB"/>
    <w:rsid w:val="003D1B3C"/>
    <w:rsid w:val="003D201C"/>
    <w:rsid w:val="003D28B6"/>
    <w:rsid w:val="003D29D4"/>
    <w:rsid w:val="003D2CEF"/>
    <w:rsid w:val="003D33C5"/>
    <w:rsid w:val="003D3542"/>
    <w:rsid w:val="003D374A"/>
    <w:rsid w:val="003D3F30"/>
    <w:rsid w:val="003D3FDB"/>
    <w:rsid w:val="003D41C7"/>
    <w:rsid w:val="003D4B8D"/>
    <w:rsid w:val="003D4BF2"/>
    <w:rsid w:val="003D53BD"/>
    <w:rsid w:val="003D575E"/>
    <w:rsid w:val="003D5BA1"/>
    <w:rsid w:val="003D5C5E"/>
    <w:rsid w:val="003D5E2C"/>
    <w:rsid w:val="003D5E36"/>
    <w:rsid w:val="003D5FD3"/>
    <w:rsid w:val="003D6C20"/>
    <w:rsid w:val="003D6D4D"/>
    <w:rsid w:val="003D7282"/>
    <w:rsid w:val="003D72D6"/>
    <w:rsid w:val="003E031A"/>
    <w:rsid w:val="003E08BA"/>
    <w:rsid w:val="003E0C2C"/>
    <w:rsid w:val="003E0DC4"/>
    <w:rsid w:val="003E0DC9"/>
    <w:rsid w:val="003E0F4C"/>
    <w:rsid w:val="003E10E1"/>
    <w:rsid w:val="003E1117"/>
    <w:rsid w:val="003E1551"/>
    <w:rsid w:val="003E184B"/>
    <w:rsid w:val="003E22EA"/>
    <w:rsid w:val="003E2357"/>
    <w:rsid w:val="003E255D"/>
    <w:rsid w:val="003E2A3C"/>
    <w:rsid w:val="003E2B07"/>
    <w:rsid w:val="003E331F"/>
    <w:rsid w:val="003E33CE"/>
    <w:rsid w:val="003E353A"/>
    <w:rsid w:val="003E3A4D"/>
    <w:rsid w:val="003E3B0F"/>
    <w:rsid w:val="003E4077"/>
    <w:rsid w:val="003E4164"/>
    <w:rsid w:val="003E4425"/>
    <w:rsid w:val="003E472D"/>
    <w:rsid w:val="003E51F1"/>
    <w:rsid w:val="003E545D"/>
    <w:rsid w:val="003E5C44"/>
    <w:rsid w:val="003E5CEE"/>
    <w:rsid w:val="003E5CF9"/>
    <w:rsid w:val="003E7167"/>
    <w:rsid w:val="003E7475"/>
    <w:rsid w:val="003E7A05"/>
    <w:rsid w:val="003E7B92"/>
    <w:rsid w:val="003E7C12"/>
    <w:rsid w:val="003F0564"/>
    <w:rsid w:val="003F07D9"/>
    <w:rsid w:val="003F0E7C"/>
    <w:rsid w:val="003F0F14"/>
    <w:rsid w:val="003F15A5"/>
    <w:rsid w:val="003F1A4F"/>
    <w:rsid w:val="003F1DC8"/>
    <w:rsid w:val="003F1FEA"/>
    <w:rsid w:val="003F23DB"/>
    <w:rsid w:val="003F34A6"/>
    <w:rsid w:val="003F3516"/>
    <w:rsid w:val="003F3D8E"/>
    <w:rsid w:val="003F3E85"/>
    <w:rsid w:val="003F436E"/>
    <w:rsid w:val="003F438B"/>
    <w:rsid w:val="003F53BD"/>
    <w:rsid w:val="003F552E"/>
    <w:rsid w:val="003F5594"/>
    <w:rsid w:val="003F5BF3"/>
    <w:rsid w:val="003F5EAA"/>
    <w:rsid w:val="003F5ED9"/>
    <w:rsid w:val="003F5EF7"/>
    <w:rsid w:val="003F5F5A"/>
    <w:rsid w:val="003F6044"/>
    <w:rsid w:val="003F60A6"/>
    <w:rsid w:val="003F61A1"/>
    <w:rsid w:val="003F6211"/>
    <w:rsid w:val="003F6330"/>
    <w:rsid w:val="003F6623"/>
    <w:rsid w:val="003F67E6"/>
    <w:rsid w:val="003F70F8"/>
    <w:rsid w:val="003F7838"/>
    <w:rsid w:val="003F7A80"/>
    <w:rsid w:val="003F7CAE"/>
    <w:rsid w:val="003F7F48"/>
    <w:rsid w:val="0040019E"/>
    <w:rsid w:val="004001B7"/>
    <w:rsid w:val="004007C4"/>
    <w:rsid w:val="00400AE7"/>
    <w:rsid w:val="00400AF8"/>
    <w:rsid w:val="00400DA8"/>
    <w:rsid w:val="00400E32"/>
    <w:rsid w:val="00401040"/>
    <w:rsid w:val="00401838"/>
    <w:rsid w:val="00401BB4"/>
    <w:rsid w:val="00401BE9"/>
    <w:rsid w:val="00401F79"/>
    <w:rsid w:val="0040205E"/>
    <w:rsid w:val="00402743"/>
    <w:rsid w:val="00402BE1"/>
    <w:rsid w:val="00402E93"/>
    <w:rsid w:val="004031DD"/>
    <w:rsid w:val="004044FC"/>
    <w:rsid w:val="004050B2"/>
    <w:rsid w:val="00405B9B"/>
    <w:rsid w:val="00406A97"/>
    <w:rsid w:val="004071D4"/>
    <w:rsid w:val="00407EAB"/>
    <w:rsid w:val="00407F84"/>
    <w:rsid w:val="00410B27"/>
    <w:rsid w:val="00410D82"/>
    <w:rsid w:val="00410E72"/>
    <w:rsid w:val="00411448"/>
    <w:rsid w:val="004116A1"/>
    <w:rsid w:val="004117D7"/>
    <w:rsid w:val="00411850"/>
    <w:rsid w:val="004119D0"/>
    <w:rsid w:val="00411A73"/>
    <w:rsid w:val="00411ABC"/>
    <w:rsid w:val="00411D15"/>
    <w:rsid w:val="0041261B"/>
    <w:rsid w:val="004128AB"/>
    <w:rsid w:val="0041294C"/>
    <w:rsid w:val="00413060"/>
    <w:rsid w:val="004134FF"/>
    <w:rsid w:val="00413A11"/>
    <w:rsid w:val="00413A29"/>
    <w:rsid w:val="00413D27"/>
    <w:rsid w:val="0041408C"/>
    <w:rsid w:val="004141D3"/>
    <w:rsid w:val="00414659"/>
    <w:rsid w:val="00414729"/>
    <w:rsid w:val="00414F3D"/>
    <w:rsid w:val="00414F96"/>
    <w:rsid w:val="004153E8"/>
    <w:rsid w:val="00415991"/>
    <w:rsid w:val="00415AD1"/>
    <w:rsid w:val="00415B68"/>
    <w:rsid w:val="00415C9B"/>
    <w:rsid w:val="00416562"/>
    <w:rsid w:val="004167B3"/>
    <w:rsid w:val="00416CD5"/>
    <w:rsid w:val="004172E3"/>
    <w:rsid w:val="0041740B"/>
    <w:rsid w:val="00417528"/>
    <w:rsid w:val="00417CC7"/>
    <w:rsid w:val="00417F07"/>
    <w:rsid w:val="004200EF"/>
    <w:rsid w:val="00420E53"/>
    <w:rsid w:val="004210D5"/>
    <w:rsid w:val="00421377"/>
    <w:rsid w:val="004213DB"/>
    <w:rsid w:val="00421498"/>
    <w:rsid w:val="00421911"/>
    <w:rsid w:val="00421B55"/>
    <w:rsid w:val="0042208F"/>
    <w:rsid w:val="00422258"/>
    <w:rsid w:val="004224D6"/>
    <w:rsid w:val="00422525"/>
    <w:rsid w:val="00422862"/>
    <w:rsid w:val="00422913"/>
    <w:rsid w:val="00422AAD"/>
    <w:rsid w:val="0042357B"/>
    <w:rsid w:val="0042389F"/>
    <w:rsid w:val="00423BF9"/>
    <w:rsid w:val="004240C7"/>
    <w:rsid w:val="00424306"/>
    <w:rsid w:val="00424556"/>
    <w:rsid w:val="00424683"/>
    <w:rsid w:val="00424E08"/>
    <w:rsid w:val="00424F78"/>
    <w:rsid w:val="004251C3"/>
    <w:rsid w:val="00425465"/>
    <w:rsid w:val="00425910"/>
    <w:rsid w:val="00425B52"/>
    <w:rsid w:val="00426039"/>
    <w:rsid w:val="004260C2"/>
    <w:rsid w:val="00426574"/>
    <w:rsid w:val="004267BD"/>
    <w:rsid w:val="00427B30"/>
    <w:rsid w:val="0043019B"/>
    <w:rsid w:val="0043020A"/>
    <w:rsid w:val="00430259"/>
    <w:rsid w:val="00430555"/>
    <w:rsid w:val="004308F0"/>
    <w:rsid w:val="00430B47"/>
    <w:rsid w:val="00430E37"/>
    <w:rsid w:val="0043105A"/>
    <w:rsid w:val="004312D9"/>
    <w:rsid w:val="004312FB"/>
    <w:rsid w:val="00431450"/>
    <w:rsid w:val="004317A3"/>
    <w:rsid w:val="00431B53"/>
    <w:rsid w:val="00431D02"/>
    <w:rsid w:val="00431DBD"/>
    <w:rsid w:val="00431F0B"/>
    <w:rsid w:val="004321EF"/>
    <w:rsid w:val="00432256"/>
    <w:rsid w:val="004322B4"/>
    <w:rsid w:val="00432A9C"/>
    <w:rsid w:val="00432C78"/>
    <w:rsid w:val="00432EE8"/>
    <w:rsid w:val="0043318C"/>
    <w:rsid w:val="0043324A"/>
    <w:rsid w:val="00433283"/>
    <w:rsid w:val="004332EA"/>
    <w:rsid w:val="004333CE"/>
    <w:rsid w:val="004334FC"/>
    <w:rsid w:val="0043376F"/>
    <w:rsid w:val="004345B3"/>
    <w:rsid w:val="004346E7"/>
    <w:rsid w:val="004348CA"/>
    <w:rsid w:val="00435741"/>
    <w:rsid w:val="0043575B"/>
    <w:rsid w:val="00435FAD"/>
    <w:rsid w:val="0043600F"/>
    <w:rsid w:val="00436455"/>
    <w:rsid w:val="004366EC"/>
    <w:rsid w:val="00436963"/>
    <w:rsid w:val="00437432"/>
    <w:rsid w:val="0043783D"/>
    <w:rsid w:val="00437BCF"/>
    <w:rsid w:val="00437FAF"/>
    <w:rsid w:val="00440108"/>
    <w:rsid w:val="00440231"/>
    <w:rsid w:val="0044099D"/>
    <w:rsid w:val="00440FB6"/>
    <w:rsid w:val="00441035"/>
    <w:rsid w:val="004411A0"/>
    <w:rsid w:val="0044129C"/>
    <w:rsid w:val="00441907"/>
    <w:rsid w:val="0044224D"/>
    <w:rsid w:val="0044245F"/>
    <w:rsid w:val="00442933"/>
    <w:rsid w:val="00443387"/>
    <w:rsid w:val="004433F1"/>
    <w:rsid w:val="00443A24"/>
    <w:rsid w:val="00443A7E"/>
    <w:rsid w:val="00443BAF"/>
    <w:rsid w:val="00443F1E"/>
    <w:rsid w:val="0044445E"/>
    <w:rsid w:val="004447A6"/>
    <w:rsid w:val="00444B4F"/>
    <w:rsid w:val="00444D8A"/>
    <w:rsid w:val="004458F9"/>
    <w:rsid w:val="00445AB3"/>
    <w:rsid w:val="00446030"/>
    <w:rsid w:val="00446042"/>
    <w:rsid w:val="00446108"/>
    <w:rsid w:val="00446972"/>
    <w:rsid w:val="00447667"/>
    <w:rsid w:val="00447B25"/>
    <w:rsid w:val="004505F5"/>
    <w:rsid w:val="004507D2"/>
    <w:rsid w:val="004508EC"/>
    <w:rsid w:val="00450AA4"/>
    <w:rsid w:val="00450DE7"/>
    <w:rsid w:val="004511C8"/>
    <w:rsid w:val="00451640"/>
    <w:rsid w:val="00451D85"/>
    <w:rsid w:val="0045212D"/>
    <w:rsid w:val="0045291F"/>
    <w:rsid w:val="00452B3F"/>
    <w:rsid w:val="00453016"/>
    <w:rsid w:val="00453422"/>
    <w:rsid w:val="004536DA"/>
    <w:rsid w:val="00453744"/>
    <w:rsid w:val="00453A09"/>
    <w:rsid w:val="004541EA"/>
    <w:rsid w:val="0045437F"/>
    <w:rsid w:val="00454E9F"/>
    <w:rsid w:val="00455166"/>
    <w:rsid w:val="00455372"/>
    <w:rsid w:val="00455B0B"/>
    <w:rsid w:val="00455F72"/>
    <w:rsid w:val="00456027"/>
    <w:rsid w:val="0045669A"/>
    <w:rsid w:val="004566DD"/>
    <w:rsid w:val="00456B62"/>
    <w:rsid w:val="0045720D"/>
    <w:rsid w:val="00457321"/>
    <w:rsid w:val="00457599"/>
    <w:rsid w:val="00457779"/>
    <w:rsid w:val="00457AB3"/>
    <w:rsid w:val="00457D2D"/>
    <w:rsid w:val="00460859"/>
    <w:rsid w:val="00460C32"/>
    <w:rsid w:val="00460C6F"/>
    <w:rsid w:val="00460F4E"/>
    <w:rsid w:val="00461193"/>
    <w:rsid w:val="00461366"/>
    <w:rsid w:val="004613B7"/>
    <w:rsid w:val="004616EA"/>
    <w:rsid w:val="004619AE"/>
    <w:rsid w:val="00462386"/>
    <w:rsid w:val="0046238B"/>
    <w:rsid w:val="00462529"/>
    <w:rsid w:val="004625E7"/>
    <w:rsid w:val="0046282C"/>
    <w:rsid w:val="0046290E"/>
    <w:rsid w:val="00462DBD"/>
    <w:rsid w:val="00462EFE"/>
    <w:rsid w:val="00462F07"/>
    <w:rsid w:val="004633F2"/>
    <w:rsid w:val="004637B7"/>
    <w:rsid w:val="00463886"/>
    <w:rsid w:val="004638B8"/>
    <w:rsid w:val="004638EE"/>
    <w:rsid w:val="00464198"/>
    <w:rsid w:val="00464B00"/>
    <w:rsid w:val="00464F5A"/>
    <w:rsid w:val="00465030"/>
    <w:rsid w:val="00465035"/>
    <w:rsid w:val="004657B4"/>
    <w:rsid w:val="0046596B"/>
    <w:rsid w:val="004663D7"/>
    <w:rsid w:val="004664D8"/>
    <w:rsid w:val="00466525"/>
    <w:rsid w:val="0046654B"/>
    <w:rsid w:val="0046672E"/>
    <w:rsid w:val="00466C27"/>
    <w:rsid w:val="00467237"/>
    <w:rsid w:val="004673EE"/>
    <w:rsid w:val="00470289"/>
    <w:rsid w:val="0047037D"/>
    <w:rsid w:val="00470C4C"/>
    <w:rsid w:val="00470C8F"/>
    <w:rsid w:val="00470E43"/>
    <w:rsid w:val="00471825"/>
    <w:rsid w:val="0047204F"/>
    <w:rsid w:val="00472212"/>
    <w:rsid w:val="004729AF"/>
    <w:rsid w:val="004733B6"/>
    <w:rsid w:val="00473B16"/>
    <w:rsid w:val="00474393"/>
    <w:rsid w:val="00474631"/>
    <w:rsid w:val="004753F6"/>
    <w:rsid w:val="00475643"/>
    <w:rsid w:val="004756BC"/>
    <w:rsid w:val="00475A78"/>
    <w:rsid w:val="00475E77"/>
    <w:rsid w:val="0047612E"/>
    <w:rsid w:val="004764F9"/>
    <w:rsid w:val="00476580"/>
    <w:rsid w:val="00476849"/>
    <w:rsid w:val="00476E12"/>
    <w:rsid w:val="0047767C"/>
    <w:rsid w:val="004778EF"/>
    <w:rsid w:val="00477EA1"/>
    <w:rsid w:val="004800D0"/>
    <w:rsid w:val="00480181"/>
    <w:rsid w:val="0048032D"/>
    <w:rsid w:val="00480FF0"/>
    <w:rsid w:val="00481032"/>
    <w:rsid w:val="00481064"/>
    <w:rsid w:val="00481136"/>
    <w:rsid w:val="004811F5"/>
    <w:rsid w:val="004812D6"/>
    <w:rsid w:val="00481B91"/>
    <w:rsid w:val="00481D99"/>
    <w:rsid w:val="004826F8"/>
    <w:rsid w:val="00482A9D"/>
    <w:rsid w:val="00482ABC"/>
    <w:rsid w:val="00482D02"/>
    <w:rsid w:val="00483004"/>
    <w:rsid w:val="004834BF"/>
    <w:rsid w:val="00483505"/>
    <w:rsid w:val="00483769"/>
    <w:rsid w:val="004837D9"/>
    <w:rsid w:val="00483927"/>
    <w:rsid w:val="00483A80"/>
    <w:rsid w:val="00483B5D"/>
    <w:rsid w:val="00484AF1"/>
    <w:rsid w:val="004850E0"/>
    <w:rsid w:val="00485287"/>
    <w:rsid w:val="00485367"/>
    <w:rsid w:val="00485390"/>
    <w:rsid w:val="00485719"/>
    <w:rsid w:val="00485A0F"/>
    <w:rsid w:val="00485E61"/>
    <w:rsid w:val="00486134"/>
    <w:rsid w:val="00486EA8"/>
    <w:rsid w:val="004871FF"/>
    <w:rsid w:val="00487203"/>
    <w:rsid w:val="00487440"/>
    <w:rsid w:val="00487990"/>
    <w:rsid w:val="00487C02"/>
    <w:rsid w:val="00487CB8"/>
    <w:rsid w:val="004917F4"/>
    <w:rsid w:val="00491C2D"/>
    <w:rsid w:val="00491E97"/>
    <w:rsid w:val="00492182"/>
    <w:rsid w:val="004923B0"/>
    <w:rsid w:val="00492623"/>
    <w:rsid w:val="004928CC"/>
    <w:rsid w:val="00492CEC"/>
    <w:rsid w:val="004930A7"/>
    <w:rsid w:val="0049315C"/>
    <w:rsid w:val="00493409"/>
    <w:rsid w:val="00493AD6"/>
    <w:rsid w:val="00493D9A"/>
    <w:rsid w:val="00494010"/>
    <w:rsid w:val="00494030"/>
    <w:rsid w:val="00494123"/>
    <w:rsid w:val="004942E0"/>
    <w:rsid w:val="004945AF"/>
    <w:rsid w:val="00494A75"/>
    <w:rsid w:val="00495642"/>
    <w:rsid w:val="00495A42"/>
    <w:rsid w:val="00496084"/>
    <w:rsid w:val="00496302"/>
    <w:rsid w:val="004963F9"/>
    <w:rsid w:val="0049642D"/>
    <w:rsid w:val="004968BE"/>
    <w:rsid w:val="00496A82"/>
    <w:rsid w:val="00497302"/>
    <w:rsid w:val="004976B5"/>
    <w:rsid w:val="004A0359"/>
    <w:rsid w:val="004A0552"/>
    <w:rsid w:val="004A0811"/>
    <w:rsid w:val="004A0B58"/>
    <w:rsid w:val="004A0DE1"/>
    <w:rsid w:val="004A144B"/>
    <w:rsid w:val="004A14DA"/>
    <w:rsid w:val="004A1825"/>
    <w:rsid w:val="004A1C5A"/>
    <w:rsid w:val="004A1E86"/>
    <w:rsid w:val="004A1F32"/>
    <w:rsid w:val="004A277B"/>
    <w:rsid w:val="004A2815"/>
    <w:rsid w:val="004A2A09"/>
    <w:rsid w:val="004A2A60"/>
    <w:rsid w:val="004A37DA"/>
    <w:rsid w:val="004A3A94"/>
    <w:rsid w:val="004A3DA9"/>
    <w:rsid w:val="004A4023"/>
    <w:rsid w:val="004A4523"/>
    <w:rsid w:val="004A5806"/>
    <w:rsid w:val="004A6390"/>
    <w:rsid w:val="004A6908"/>
    <w:rsid w:val="004A6B8C"/>
    <w:rsid w:val="004A6BA8"/>
    <w:rsid w:val="004A7090"/>
    <w:rsid w:val="004A7372"/>
    <w:rsid w:val="004A7C94"/>
    <w:rsid w:val="004A7DD8"/>
    <w:rsid w:val="004B04EB"/>
    <w:rsid w:val="004B07F3"/>
    <w:rsid w:val="004B0AE3"/>
    <w:rsid w:val="004B11F1"/>
    <w:rsid w:val="004B1B81"/>
    <w:rsid w:val="004B2231"/>
    <w:rsid w:val="004B24E9"/>
    <w:rsid w:val="004B2876"/>
    <w:rsid w:val="004B2B6E"/>
    <w:rsid w:val="004B2D74"/>
    <w:rsid w:val="004B31E5"/>
    <w:rsid w:val="004B3B8E"/>
    <w:rsid w:val="004B3DCF"/>
    <w:rsid w:val="004B3DD7"/>
    <w:rsid w:val="004B424C"/>
    <w:rsid w:val="004B4283"/>
    <w:rsid w:val="004B43E7"/>
    <w:rsid w:val="004B440A"/>
    <w:rsid w:val="004B4B6C"/>
    <w:rsid w:val="004B4F67"/>
    <w:rsid w:val="004B5157"/>
    <w:rsid w:val="004B530B"/>
    <w:rsid w:val="004B544F"/>
    <w:rsid w:val="004B57E8"/>
    <w:rsid w:val="004B5C18"/>
    <w:rsid w:val="004B5E02"/>
    <w:rsid w:val="004B6799"/>
    <w:rsid w:val="004B67B5"/>
    <w:rsid w:val="004B686E"/>
    <w:rsid w:val="004B6EE3"/>
    <w:rsid w:val="004B7087"/>
    <w:rsid w:val="004B7A73"/>
    <w:rsid w:val="004B7C76"/>
    <w:rsid w:val="004B7DF3"/>
    <w:rsid w:val="004C00F3"/>
    <w:rsid w:val="004C04A7"/>
    <w:rsid w:val="004C051E"/>
    <w:rsid w:val="004C0AF6"/>
    <w:rsid w:val="004C1486"/>
    <w:rsid w:val="004C1707"/>
    <w:rsid w:val="004C181A"/>
    <w:rsid w:val="004C1BAE"/>
    <w:rsid w:val="004C24CB"/>
    <w:rsid w:val="004C27F3"/>
    <w:rsid w:val="004C294C"/>
    <w:rsid w:val="004C2D59"/>
    <w:rsid w:val="004C2DEA"/>
    <w:rsid w:val="004C3215"/>
    <w:rsid w:val="004C3255"/>
    <w:rsid w:val="004C37EE"/>
    <w:rsid w:val="004C3D12"/>
    <w:rsid w:val="004C413C"/>
    <w:rsid w:val="004C4495"/>
    <w:rsid w:val="004C4911"/>
    <w:rsid w:val="004C4DB6"/>
    <w:rsid w:val="004C4F34"/>
    <w:rsid w:val="004C5391"/>
    <w:rsid w:val="004C53C5"/>
    <w:rsid w:val="004C54DD"/>
    <w:rsid w:val="004C5603"/>
    <w:rsid w:val="004C561C"/>
    <w:rsid w:val="004C56B1"/>
    <w:rsid w:val="004C5BA4"/>
    <w:rsid w:val="004C5C05"/>
    <w:rsid w:val="004C61E5"/>
    <w:rsid w:val="004C61F9"/>
    <w:rsid w:val="004C6D4C"/>
    <w:rsid w:val="004C6FE9"/>
    <w:rsid w:val="004C72D5"/>
    <w:rsid w:val="004C7488"/>
    <w:rsid w:val="004C763B"/>
    <w:rsid w:val="004C799A"/>
    <w:rsid w:val="004C7AA7"/>
    <w:rsid w:val="004C7BD4"/>
    <w:rsid w:val="004C7C26"/>
    <w:rsid w:val="004D03D9"/>
    <w:rsid w:val="004D05EE"/>
    <w:rsid w:val="004D0EE7"/>
    <w:rsid w:val="004D1143"/>
    <w:rsid w:val="004D1465"/>
    <w:rsid w:val="004D15A5"/>
    <w:rsid w:val="004D15D9"/>
    <w:rsid w:val="004D1CC0"/>
    <w:rsid w:val="004D1E8C"/>
    <w:rsid w:val="004D2045"/>
    <w:rsid w:val="004D2356"/>
    <w:rsid w:val="004D2520"/>
    <w:rsid w:val="004D2B30"/>
    <w:rsid w:val="004D2E06"/>
    <w:rsid w:val="004D2F56"/>
    <w:rsid w:val="004D34CA"/>
    <w:rsid w:val="004D39A2"/>
    <w:rsid w:val="004D39D1"/>
    <w:rsid w:val="004D3C7B"/>
    <w:rsid w:val="004D3FED"/>
    <w:rsid w:val="004D427F"/>
    <w:rsid w:val="004D4584"/>
    <w:rsid w:val="004D4661"/>
    <w:rsid w:val="004D4F21"/>
    <w:rsid w:val="004D52D5"/>
    <w:rsid w:val="004D52D6"/>
    <w:rsid w:val="004D56F4"/>
    <w:rsid w:val="004D64B6"/>
    <w:rsid w:val="004D65D9"/>
    <w:rsid w:val="004D67E1"/>
    <w:rsid w:val="004D6CBA"/>
    <w:rsid w:val="004D7510"/>
    <w:rsid w:val="004D778E"/>
    <w:rsid w:val="004D7835"/>
    <w:rsid w:val="004E01DE"/>
    <w:rsid w:val="004E0D23"/>
    <w:rsid w:val="004E0E54"/>
    <w:rsid w:val="004E11B7"/>
    <w:rsid w:val="004E1243"/>
    <w:rsid w:val="004E1436"/>
    <w:rsid w:val="004E14CB"/>
    <w:rsid w:val="004E1546"/>
    <w:rsid w:val="004E24A1"/>
    <w:rsid w:val="004E2855"/>
    <w:rsid w:val="004E29D7"/>
    <w:rsid w:val="004E2AFD"/>
    <w:rsid w:val="004E2B2C"/>
    <w:rsid w:val="004E2CD2"/>
    <w:rsid w:val="004E2D5E"/>
    <w:rsid w:val="004E2FB4"/>
    <w:rsid w:val="004E31F8"/>
    <w:rsid w:val="004E34A2"/>
    <w:rsid w:val="004E34C4"/>
    <w:rsid w:val="004E3810"/>
    <w:rsid w:val="004E3847"/>
    <w:rsid w:val="004E3911"/>
    <w:rsid w:val="004E3F07"/>
    <w:rsid w:val="004E444D"/>
    <w:rsid w:val="004E478D"/>
    <w:rsid w:val="004E481D"/>
    <w:rsid w:val="004E488B"/>
    <w:rsid w:val="004E48E6"/>
    <w:rsid w:val="004E5261"/>
    <w:rsid w:val="004E532E"/>
    <w:rsid w:val="004E569A"/>
    <w:rsid w:val="004E56D3"/>
    <w:rsid w:val="004E58AC"/>
    <w:rsid w:val="004E6115"/>
    <w:rsid w:val="004E6156"/>
    <w:rsid w:val="004E61D6"/>
    <w:rsid w:val="004E6C4C"/>
    <w:rsid w:val="004E6E9B"/>
    <w:rsid w:val="004E6F71"/>
    <w:rsid w:val="004E6F7E"/>
    <w:rsid w:val="004E728F"/>
    <w:rsid w:val="004E741D"/>
    <w:rsid w:val="004E75C0"/>
    <w:rsid w:val="004E7C80"/>
    <w:rsid w:val="004E7E0C"/>
    <w:rsid w:val="004E7E1B"/>
    <w:rsid w:val="004F0616"/>
    <w:rsid w:val="004F10D9"/>
    <w:rsid w:val="004F110C"/>
    <w:rsid w:val="004F1445"/>
    <w:rsid w:val="004F15AC"/>
    <w:rsid w:val="004F1724"/>
    <w:rsid w:val="004F1C12"/>
    <w:rsid w:val="004F1E9C"/>
    <w:rsid w:val="004F1F47"/>
    <w:rsid w:val="004F2041"/>
    <w:rsid w:val="004F2D2D"/>
    <w:rsid w:val="004F2D9F"/>
    <w:rsid w:val="004F2F91"/>
    <w:rsid w:val="004F35E9"/>
    <w:rsid w:val="004F36DD"/>
    <w:rsid w:val="004F3E9C"/>
    <w:rsid w:val="004F3EE2"/>
    <w:rsid w:val="004F40CE"/>
    <w:rsid w:val="004F415F"/>
    <w:rsid w:val="004F448A"/>
    <w:rsid w:val="004F49FD"/>
    <w:rsid w:val="004F4B7F"/>
    <w:rsid w:val="004F5C82"/>
    <w:rsid w:val="004F5D30"/>
    <w:rsid w:val="004F60BF"/>
    <w:rsid w:val="004F61C3"/>
    <w:rsid w:val="004F62C9"/>
    <w:rsid w:val="004F6382"/>
    <w:rsid w:val="004F63D7"/>
    <w:rsid w:val="004F6436"/>
    <w:rsid w:val="004F6BCC"/>
    <w:rsid w:val="004F6D47"/>
    <w:rsid w:val="004F6DBA"/>
    <w:rsid w:val="004F6F92"/>
    <w:rsid w:val="004F701A"/>
    <w:rsid w:val="004F73BD"/>
    <w:rsid w:val="004F7B3C"/>
    <w:rsid w:val="0050001F"/>
    <w:rsid w:val="005000A0"/>
    <w:rsid w:val="00500D5A"/>
    <w:rsid w:val="00500DD1"/>
    <w:rsid w:val="00501C20"/>
    <w:rsid w:val="00501E88"/>
    <w:rsid w:val="00502015"/>
    <w:rsid w:val="0050234A"/>
    <w:rsid w:val="0050247C"/>
    <w:rsid w:val="00502ABA"/>
    <w:rsid w:val="00502DD7"/>
    <w:rsid w:val="00503043"/>
    <w:rsid w:val="00503181"/>
    <w:rsid w:val="00503BFF"/>
    <w:rsid w:val="005047AB"/>
    <w:rsid w:val="005055FF"/>
    <w:rsid w:val="005058AD"/>
    <w:rsid w:val="00505AA6"/>
    <w:rsid w:val="00505B76"/>
    <w:rsid w:val="0050605B"/>
    <w:rsid w:val="005062F3"/>
    <w:rsid w:val="0050640C"/>
    <w:rsid w:val="00506484"/>
    <w:rsid w:val="005068FF"/>
    <w:rsid w:val="0050694E"/>
    <w:rsid w:val="00506AA0"/>
    <w:rsid w:val="00506F5A"/>
    <w:rsid w:val="005071A7"/>
    <w:rsid w:val="005077D3"/>
    <w:rsid w:val="005078CE"/>
    <w:rsid w:val="00507FBA"/>
    <w:rsid w:val="005105C5"/>
    <w:rsid w:val="00510F62"/>
    <w:rsid w:val="00511850"/>
    <w:rsid w:val="005121B8"/>
    <w:rsid w:val="00512448"/>
    <w:rsid w:val="005126BF"/>
    <w:rsid w:val="005127CB"/>
    <w:rsid w:val="00512820"/>
    <w:rsid w:val="00512AF8"/>
    <w:rsid w:val="00512DB5"/>
    <w:rsid w:val="00512DD2"/>
    <w:rsid w:val="00513412"/>
    <w:rsid w:val="00513BE3"/>
    <w:rsid w:val="00513E7A"/>
    <w:rsid w:val="005141B1"/>
    <w:rsid w:val="0051457B"/>
    <w:rsid w:val="005146B2"/>
    <w:rsid w:val="0051478D"/>
    <w:rsid w:val="005148D3"/>
    <w:rsid w:val="00514B17"/>
    <w:rsid w:val="00514E33"/>
    <w:rsid w:val="00515148"/>
    <w:rsid w:val="005154C9"/>
    <w:rsid w:val="0051573E"/>
    <w:rsid w:val="00515E3D"/>
    <w:rsid w:val="00515EA7"/>
    <w:rsid w:val="00515FB7"/>
    <w:rsid w:val="005161C0"/>
    <w:rsid w:val="005163BB"/>
    <w:rsid w:val="005168DC"/>
    <w:rsid w:val="005169E3"/>
    <w:rsid w:val="005176B3"/>
    <w:rsid w:val="00517884"/>
    <w:rsid w:val="0051793A"/>
    <w:rsid w:val="0051798D"/>
    <w:rsid w:val="00517A3F"/>
    <w:rsid w:val="00517CFE"/>
    <w:rsid w:val="00517DE7"/>
    <w:rsid w:val="0052017B"/>
    <w:rsid w:val="005208AA"/>
    <w:rsid w:val="00520E56"/>
    <w:rsid w:val="005210DC"/>
    <w:rsid w:val="005212EA"/>
    <w:rsid w:val="00521571"/>
    <w:rsid w:val="00521624"/>
    <w:rsid w:val="00521770"/>
    <w:rsid w:val="00521A45"/>
    <w:rsid w:val="00521C84"/>
    <w:rsid w:val="00521E71"/>
    <w:rsid w:val="00522252"/>
    <w:rsid w:val="00522289"/>
    <w:rsid w:val="005224A1"/>
    <w:rsid w:val="0052335C"/>
    <w:rsid w:val="005233A9"/>
    <w:rsid w:val="0052357E"/>
    <w:rsid w:val="00523F74"/>
    <w:rsid w:val="0052411A"/>
    <w:rsid w:val="0052475A"/>
    <w:rsid w:val="00524BD1"/>
    <w:rsid w:val="005250D8"/>
    <w:rsid w:val="0052523B"/>
    <w:rsid w:val="005253BF"/>
    <w:rsid w:val="005253FD"/>
    <w:rsid w:val="005256C9"/>
    <w:rsid w:val="005259FA"/>
    <w:rsid w:val="00526393"/>
    <w:rsid w:val="005264BE"/>
    <w:rsid w:val="00526916"/>
    <w:rsid w:val="00526AAD"/>
    <w:rsid w:val="00526E7B"/>
    <w:rsid w:val="005271E4"/>
    <w:rsid w:val="00527500"/>
    <w:rsid w:val="00527DD9"/>
    <w:rsid w:val="00531066"/>
    <w:rsid w:val="00531199"/>
    <w:rsid w:val="00531AE2"/>
    <w:rsid w:val="005326E4"/>
    <w:rsid w:val="005326FF"/>
    <w:rsid w:val="00532BD6"/>
    <w:rsid w:val="00533150"/>
    <w:rsid w:val="00533D2B"/>
    <w:rsid w:val="00533D67"/>
    <w:rsid w:val="00533E38"/>
    <w:rsid w:val="00534CF1"/>
    <w:rsid w:val="0053517B"/>
    <w:rsid w:val="00535283"/>
    <w:rsid w:val="005353C1"/>
    <w:rsid w:val="00535542"/>
    <w:rsid w:val="00535908"/>
    <w:rsid w:val="00535A9A"/>
    <w:rsid w:val="00535B75"/>
    <w:rsid w:val="00535ECB"/>
    <w:rsid w:val="005364E9"/>
    <w:rsid w:val="00536593"/>
    <w:rsid w:val="00536ADE"/>
    <w:rsid w:val="00536C88"/>
    <w:rsid w:val="00536F17"/>
    <w:rsid w:val="00536FEF"/>
    <w:rsid w:val="00537BD6"/>
    <w:rsid w:val="00537D39"/>
    <w:rsid w:val="00540069"/>
    <w:rsid w:val="0054032F"/>
    <w:rsid w:val="00540C7F"/>
    <w:rsid w:val="00540E6A"/>
    <w:rsid w:val="005411B8"/>
    <w:rsid w:val="005414DD"/>
    <w:rsid w:val="0054155C"/>
    <w:rsid w:val="005418E0"/>
    <w:rsid w:val="00541C23"/>
    <w:rsid w:val="00541CCF"/>
    <w:rsid w:val="00541EFF"/>
    <w:rsid w:val="00542219"/>
    <w:rsid w:val="00542EB4"/>
    <w:rsid w:val="00542FB1"/>
    <w:rsid w:val="005431F6"/>
    <w:rsid w:val="0054356C"/>
    <w:rsid w:val="005439BC"/>
    <w:rsid w:val="005440D5"/>
    <w:rsid w:val="00544773"/>
    <w:rsid w:val="00544EA0"/>
    <w:rsid w:val="00544F27"/>
    <w:rsid w:val="00545CF5"/>
    <w:rsid w:val="0054650E"/>
    <w:rsid w:val="005466BA"/>
    <w:rsid w:val="00546A58"/>
    <w:rsid w:val="00546F22"/>
    <w:rsid w:val="00546F88"/>
    <w:rsid w:val="00547BD0"/>
    <w:rsid w:val="00547D0C"/>
    <w:rsid w:val="00547D58"/>
    <w:rsid w:val="00550135"/>
    <w:rsid w:val="0055041D"/>
    <w:rsid w:val="005508E2"/>
    <w:rsid w:val="00550AF5"/>
    <w:rsid w:val="00550B41"/>
    <w:rsid w:val="00550B43"/>
    <w:rsid w:val="00550CCB"/>
    <w:rsid w:val="00551067"/>
    <w:rsid w:val="005512EE"/>
    <w:rsid w:val="005514E1"/>
    <w:rsid w:val="00551A08"/>
    <w:rsid w:val="005524CC"/>
    <w:rsid w:val="0055256A"/>
    <w:rsid w:val="00552686"/>
    <w:rsid w:val="00552A2A"/>
    <w:rsid w:val="00552A58"/>
    <w:rsid w:val="00552BFC"/>
    <w:rsid w:val="00552C56"/>
    <w:rsid w:val="00553115"/>
    <w:rsid w:val="00553290"/>
    <w:rsid w:val="005532A9"/>
    <w:rsid w:val="005533C6"/>
    <w:rsid w:val="0055361F"/>
    <w:rsid w:val="00553943"/>
    <w:rsid w:val="005539DB"/>
    <w:rsid w:val="00553AD2"/>
    <w:rsid w:val="0055408E"/>
    <w:rsid w:val="005543F7"/>
    <w:rsid w:val="00554E9C"/>
    <w:rsid w:val="00555679"/>
    <w:rsid w:val="0055591F"/>
    <w:rsid w:val="00555984"/>
    <w:rsid w:val="005559A2"/>
    <w:rsid w:val="00555D99"/>
    <w:rsid w:val="00555F2B"/>
    <w:rsid w:val="005561B9"/>
    <w:rsid w:val="005563A1"/>
    <w:rsid w:val="005567C0"/>
    <w:rsid w:val="00556850"/>
    <w:rsid w:val="005568A6"/>
    <w:rsid w:val="00556CEF"/>
    <w:rsid w:val="00556D25"/>
    <w:rsid w:val="00556D75"/>
    <w:rsid w:val="00556E46"/>
    <w:rsid w:val="00556F5D"/>
    <w:rsid w:val="00557085"/>
    <w:rsid w:val="00557783"/>
    <w:rsid w:val="00557A86"/>
    <w:rsid w:val="00557C99"/>
    <w:rsid w:val="00557FB2"/>
    <w:rsid w:val="005600B6"/>
    <w:rsid w:val="005601A0"/>
    <w:rsid w:val="0056040D"/>
    <w:rsid w:val="00561254"/>
    <w:rsid w:val="00561D13"/>
    <w:rsid w:val="0056200C"/>
    <w:rsid w:val="005621E5"/>
    <w:rsid w:val="0056230F"/>
    <w:rsid w:val="00562939"/>
    <w:rsid w:val="00562F0F"/>
    <w:rsid w:val="00563089"/>
    <w:rsid w:val="005638AD"/>
    <w:rsid w:val="00564140"/>
    <w:rsid w:val="00564392"/>
    <w:rsid w:val="0056532A"/>
    <w:rsid w:val="00565B2B"/>
    <w:rsid w:val="00565B90"/>
    <w:rsid w:val="00565D35"/>
    <w:rsid w:val="00565EFA"/>
    <w:rsid w:val="00566177"/>
    <w:rsid w:val="005661F8"/>
    <w:rsid w:val="0056677B"/>
    <w:rsid w:val="00566FAC"/>
    <w:rsid w:val="00566FF4"/>
    <w:rsid w:val="0056744F"/>
    <w:rsid w:val="005675F5"/>
    <w:rsid w:val="00567F4F"/>
    <w:rsid w:val="00570890"/>
    <w:rsid w:val="005709A4"/>
    <w:rsid w:val="00570AE3"/>
    <w:rsid w:val="00571ABD"/>
    <w:rsid w:val="00571E78"/>
    <w:rsid w:val="005722DB"/>
    <w:rsid w:val="005724C2"/>
    <w:rsid w:val="005729BE"/>
    <w:rsid w:val="00572FA3"/>
    <w:rsid w:val="00573792"/>
    <w:rsid w:val="005750C2"/>
    <w:rsid w:val="0057512A"/>
    <w:rsid w:val="0057535B"/>
    <w:rsid w:val="0057563B"/>
    <w:rsid w:val="00575E76"/>
    <w:rsid w:val="00575E80"/>
    <w:rsid w:val="00576685"/>
    <w:rsid w:val="0057674C"/>
    <w:rsid w:val="00576ABE"/>
    <w:rsid w:val="00577103"/>
    <w:rsid w:val="00577633"/>
    <w:rsid w:val="005800CF"/>
    <w:rsid w:val="0058042F"/>
    <w:rsid w:val="0058055D"/>
    <w:rsid w:val="00580884"/>
    <w:rsid w:val="00580F55"/>
    <w:rsid w:val="00580F9F"/>
    <w:rsid w:val="00580FA3"/>
    <w:rsid w:val="005811D6"/>
    <w:rsid w:val="0058165E"/>
    <w:rsid w:val="0058193F"/>
    <w:rsid w:val="00581E13"/>
    <w:rsid w:val="00582520"/>
    <w:rsid w:val="005828D1"/>
    <w:rsid w:val="00582949"/>
    <w:rsid w:val="0058388F"/>
    <w:rsid w:val="00583ABF"/>
    <w:rsid w:val="00583F5D"/>
    <w:rsid w:val="0058498A"/>
    <w:rsid w:val="005849A8"/>
    <w:rsid w:val="00584B04"/>
    <w:rsid w:val="00584B9A"/>
    <w:rsid w:val="00584CA1"/>
    <w:rsid w:val="0058576E"/>
    <w:rsid w:val="005857A0"/>
    <w:rsid w:val="00585E3F"/>
    <w:rsid w:val="00586690"/>
    <w:rsid w:val="00586ECB"/>
    <w:rsid w:val="00586FA7"/>
    <w:rsid w:val="0058748D"/>
    <w:rsid w:val="00587896"/>
    <w:rsid w:val="00587D2D"/>
    <w:rsid w:val="00587DC8"/>
    <w:rsid w:val="00587E27"/>
    <w:rsid w:val="00587F20"/>
    <w:rsid w:val="0059033F"/>
    <w:rsid w:val="0059053D"/>
    <w:rsid w:val="00591344"/>
    <w:rsid w:val="00591625"/>
    <w:rsid w:val="0059169E"/>
    <w:rsid w:val="00591843"/>
    <w:rsid w:val="00591A17"/>
    <w:rsid w:val="00591AA2"/>
    <w:rsid w:val="00591C6B"/>
    <w:rsid w:val="00591E65"/>
    <w:rsid w:val="00591E67"/>
    <w:rsid w:val="00592239"/>
    <w:rsid w:val="005923FF"/>
    <w:rsid w:val="00592C18"/>
    <w:rsid w:val="0059329A"/>
    <w:rsid w:val="0059355C"/>
    <w:rsid w:val="005937EF"/>
    <w:rsid w:val="00593CD4"/>
    <w:rsid w:val="00593FBD"/>
    <w:rsid w:val="0059414F"/>
    <w:rsid w:val="005949A8"/>
    <w:rsid w:val="00594B35"/>
    <w:rsid w:val="00594DF4"/>
    <w:rsid w:val="00594F00"/>
    <w:rsid w:val="00595024"/>
    <w:rsid w:val="0059535A"/>
    <w:rsid w:val="0059542B"/>
    <w:rsid w:val="00595A3A"/>
    <w:rsid w:val="00595B24"/>
    <w:rsid w:val="005960EA"/>
    <w:rsid w:val="0059614A"/>
    <w:rsid w:val="0059622D"/>
    <w:rsid w:val="00596D6E"/>
    <w:rsid w:val="00597532"/>
    <w:rsid w:val="005976BA"/>
    <w:rsid w:val="005976D8"/>
    <w:rsid w:val="005977FD"/>
    <w:rsid w:val="00597D9A"/>
    <w:rsid w:val="005A01DE"/>
    <w:rsid w:val="005A0509"/>
    <w:rsid w:val="005A071D"/>
    <w:rsid w:val="005A0A64"/>
    <w:rsid w:val="005A1216"/>
    <w:rsid w:val="005A12FA"/>
    <w:rsid w:val="005A24FB"/>
    <w:rsid w:val="005A252C"/>
    <w:rsid w:val="005A2887"/>
    <w:rsid w:val="005A2987"/>
    <w:rsid w:val="005A2CCD"/>
    <w:rsid w:val="005A3105"/>
    <w:rsid w:val="005A3175"/>
    <w:rsid w:val="005A3434"/>
    <w:rsid w:val="005A356E"/>
    <w:rsid w:val="005A36D7"/>
    <w:rsid w:val="005A372B"/>
    <w:rsid w:val="005A3A3C"/>
    <w:rsid w:val="005A403D"/>
    <w:rsid w:val="005A41E0"/>
    <w:rsid w:val="005A49FE"/>
    <w:rsid w:val="005A514F"/>
    <w:rsid w:val="005A52FE"/>
    <w:rsid w:val="005A5307"/>
    <w:rsid w:val="005A56E3"/>
    <w:rsid w:val="005A5826"/>
    <w:rsid w:val="005A58FF"/>
    <w:rsid w:val="005A5F12"/>
    <w:rsid w:val="005A5FA4"/>
    <w:rsid w:val="005A60AD"/>
    <w:rsid w:val="005A6814"/>
    <w:rsid w:val="005A6875"/>
    <w:rsid w:val="005A6B16"/>
    <w:rsid w:val="005A6B8A"/>
    <w:rsid w:val="005A6E07"/>
    <w:rsid w:val="005A6F71"/>
    <w:rsid w:val="005A712F"/>
    <w:rsid w:val="005A71C2"/>
    <w:rsid w:val="005A7474"/>
    <w:rsid w:val="005A7840"/>
    <w:rsid w:val="005A7E79"/>
    <w:rsid w:val="005A7E9E"/>
    <w:rsid w:val="005B01BF"/>
    <w:rsid w:val="005B1003"/>
    <w:rsid w:val="005B1192"/>
    <w:rsid w:val="005B13CC"/>
    <w:rsid w:val="005B19AF"/>
    <w:rsid w:val="005B1BF2"/>
    <w:rsid w:val="005B1ED9"/>
    <w:rsid w:val="005B283D"/>
    <w:rsid w:val="005B292C"/>
    <w:rsid w:val="005B29EC"/>
    <w:rsid w:val="005B2A1C"/>
    <w:rsid w:val="005B2BF9"/>
    <w:rsid w:val="005B338B"/>
    <w:rsid w:val="005B36C3"/>
    <w:rsid w:val="005B3C20"/>
    <w:rsid w:val="005B3C48"/>
    <w:rsid w:val="005B3E4F"/>
    <w:rsid w:val="005B42C3"/>
    <w:rsid w:val="005B4526"/>
    <w:rsid w:val="005B460B"/>
    <w:rsid w:val="005B4816"/>
    <w:rsid w:val="005B4D5F"/>
    <w:rsid w:val="005B5090"/>
    <w:rsid w:val="005B52D1"/>
    <w:rsid w:val="005B580A"/>
    <w:rsid w:val="005B5B59"/>
    <w:rsid w:val="005B5C69"/>
    <w:rsid w:val="005B6010"/>
    <w:rsid w:val="005B64CB"/>
    <w:rsid w:val="005B65E4"/>
    <w:rsid w:val="005B6892"/>
    <w:rsid w:val="005B689F"/>
    <w:rsid w:val="005B6C54"/>
    <w:rsid w:val="005B7280"/>
    <w:rsid w:val="005B7534"/>
    <w:rsid w:val="005B7934"/>
    <w:rsid w:val="005B7F90"/>
    <w:rsid w:val="005C0F6A"/>
    <w:rsid w:val="005C1122"/>
    <w:rsid w:val="005C1320"/>
    <w:rsid w:val="005C16FC"/>
    <w:rsid w:val="005C1807"/>
    <w:rsid w:val="005C227C"/>
    <w:rsid w:val="005C2C69"/>
    <w:rsid w:val="005C3039"/>
    <w:rsid w:val="005C31C5"/>
    <w:rsid w:val="005C3DD0"/>
    <w:rsid w:val="005C4166"/>
    <w:rsid w:val="005C4392"/>
    <w:rsid w:val="005C43ED"/>
    <w:rsid w:val="005C45CF"/>
    <w:rsid w:val="005C48C7"/>
    <w:rsid w:val="005C4FB2"/>
    <w:rsid w:val="005C5519"/>
    <w:rsid w:val="005C5542"/>
    <w:rsid w:val="005C58D6"/>
    <w:rsid w:val="005C5AEA"/>
    <w:rsid w:val="005C5F05"/>
    <w:rsid w:val="005C628A"/>
    <w:rsid w:val="005C68D5"/>
    <w:rsid w:val="005C6B9D"/>
    <w:rsid w:val="005C71FD"/>
    <w:rsid w:val="005C73F2"/>
    <w:rsid w:val="005C7927"/>
    <w:rsid w:val="005C7962"/>
    <w:rsid w:val="005C7E7E"/>
    <w:rsid w:val="005C7FFE"/>
    <w:rsid w:val="005D0315"/>
    <w:rsid w:val="005D07D3"/>
    <w:rsid w:val="005D0C71"/>
    <w:rsid w:val="005D0E55"/>
    <w:rsid w:val="005D124B"/>
    <w:rsid w:val="005D1B18"/>
    <w:rsid w:val="005D1B47"/>
    <w:rsid w:val="005D1CD2"/>
    <w:rsid w:val="005D213D"/>
    <w:rsid w:val="005D2224"/>
    <w:rsid w:val="005D2331"/>
    <w:rsid w:val="005D24A8"/>
    <w:rsid w:val="005D24B7"/>
    <w:rsid w:val="005D29E9"/>
    <w:rsid w:val="005D2FA1"/>
    <w:rsid w:val="005D330C"/>
    <w:rsid w:val="005D34EB"/>
    <w:rsid w:val="005D3DE0"/>
    <w:rsid w:val="005D3EC8"/>
    <w:rsid w:val="005D3F65"/>
    <w:rsid w:val="005D43C6"/>
    <w:rsid w:val="005D4CC2"/>
    <w:rsid w:val="005D4D72"/>
    <w:rsid w:val="005D51BC"/>
    <w:rsid w:val="005D55E1"/>
    <w:rsid w:val="005D5667"/>
    <w:rsid w:val="005D56AD"/>
    <w:rsid w:val="005D5BA0"/>
    <w:rsid w:val="005D5C71"/>
    <w:rsid w:val="005D5D3C"/>
    <w:rsid w:val="005D5D5A"/>
    <w:rsid w:val="005D6233"/>
    <w:rsid w:val="005D634B"/>
    <w:rsid w:val="005D688C"/>
    <w:rsid w:val="005D6AEC"/>
    <w:rsid w:val="005D7548"/>
    <w:rsid w:val="005D7DB4"/>
    <w:rsid w:val="005D7F40"/>
    <w:rsid w:val="005E01D3"/>
    <w:rsid w:val="005E021A"/>
    <w:rsid w:val="005E0F78"/>
    <w:rsid w:val="005E112A"/>
    <w:rsid w:val="005E15AB"/>
    <w:rsid w:val="005E1C1F"/>
    <w:rsid w:val="005E1E13"/>
    <w:rsid w:val="005E2688"/>
    <w:rsid w:val="005E2693"/>
    <w:rsid w:val="005E2946"/>
    <w:rsid w:val="005E29C5"/>
    <w:rsid w:val="005E2D9F"/>
    <w:rsid w:val="005E3029"/>
    <w:rsid w:val="005E3095"/>
    <w:rsid w:val="005E3584"/>
    <w:rsid w:val="005E3B33"/>
    <w:rsid w:val="005E3C41"/>
    <w:rsid w:val="005E3CD5"/>
    <w:rsid w:val="005E3EC3"/>
    <w:rsid w:val="005E42AB"/>
    <w:rsid w:val="005E43C7"/>
    <w:rsid w:val="005E4937"/>
    <w:rsid w:val="005E518C"/>
    <w:rsid w:val="005E5612"/>
    <w:rsid w:val="005E5E83"/>
    <w:rsid w:val="005E611B"/>
    <w:rsid w:val="005E66F8"/>
    <w:rsid w:val="005E6B69"/>
    <w:rsid w:val="005E6EA9"/>
    <w:rsid w:val="005E6F3F"/>
    <w:rsid w:val="005E6F42"/>
    <w:rsid w:val="005E78A1"/>
    <w:rsid w:val="005E7A59"/>
    <w:rsid w:val="005E7C07"/>
    <w:rsid w:val="005F0476"/>
    <w:rsid w:val="005F0676"/>
    <w:rsid w:val="005F0A1A"/>
    <w:rsid w:val="005F0CBF"/>
    <w:rsid w:val="005F0CE2"/>
    <w:rsid w:val="005F14B3"/>
    <w:rsid w:val="005F173E"/>
    <w:rsid w:val="005F1877"/>
    <w:rsid w:val="005F1DD0"/>
    <w:rsid w:val="005F1EE4"/>
    <w:rsid w:val="005F219B"/>
    <w:rsid w:val="005F2C6E"/>
    <w:rsid w:val="005F2E89"/>
    <w:rsid w:val="005F3326"/>
    <w:rsid w:val="005F34FB"/>
    <w:rsid w:val="005F3D74"/>
    <w:rsid w:val="005F4207"/>
    <w:rsid w:val="005F48EF"/>
    <w:rsid w:val="005F4A56"/>
    <w:rsid w:val="005F4BFB"/>
    <w:rsid w:val="005F4D55"/>
    <w:rsid w:val="005F5142"/>
    <w:rsid w:val="005F5206"/>
    <w:rsid w:val="005F5258"/>
    <w:rsid w:val="005F53AA"/>
    <w:rsid w:val="005F5727"/>
    <w:rsid w:val="005F5D9F"/>
    <w:rsid w:val="005F5E14"/>
    <w:rsid w:val="005F5E7E"/>
    <w:rsid w:val="005F615A"/>
    <w:rsid w:val="005F63D3"/>
    <w:rsid w:val="005F70A7"/>
    <w:rsid w:val="005F7170"/>
    <w:rsid w:val="005F7190"/>
    <w:rsid w:val="005F7590"/>
    <w:rsid w:val="005F7B56"/>
    <w:rsid w:val="005F7E30"/>
    <w:rsid w:val="006000AD"/>
    <w:rsid w:val="00600478"/>
    <w:rsid w:val="00600E66"/>
    <w:rsid w:val="00601103"/>
    <w:rsid w:val="0060171D"/>
    <w:rsid w:val="00601A58"/>
    <w:rsid w:val="00601C10"/>
    <w:rsid w:val="00601ED2"/>
    <w:rsid w:val="00602147"/>
    <w:rsid w:val="0060217F"/>
    <w:rsid w:val="006022CC"/>
    <w:rsid w:val="0060235B"/>
    <w:rsid w:val="006023EC"/>
    <w:rsid w:val="00602614"/>
    <w:rsid w:val="00602638"/>
    <w:rsid w:val="006029DE"/>
    <w:rsid w:val="00602D7C"/>
    <w:rsid w:val="00602E50"/>
    <w:rsid w:val="00602FFE"/>
    <w:rsid w:val="006034BB"/>
    <w:rsid w:val="0060365C"/>
    <w:rsid w:val="00603E68"/>
    <w:rsid w:val="0060468D"/>
    <w:rsid w:val="0060483F"/>
    <w:rsid w:val="00604A48"/>
    <w:rsid w:val="00604A5D"/>
    <w:rsid w:val="00604BAA"/>
    <w:rsid w:val="00604BE1"/>
    <w:rsid w:val="00604C19"/>
    <w:rsid w:val="00604D8D"/>
    <w:rsid w:val="00605121"/>
    <w:rsid w:val="006057D4"/>
    <w:rsid w:val="00605B89"/>
    <w:rsid w:val="006060EF"/>
    <w:rsid w:val="006062AC"/>
    <w:rsid w:val="0060633A"/>
    <w:rsid w:val="00606538"/>
    <w:rsid w:val="0060655A"/>
    <w:rsid w:val="006066A4"/>
    <w:rsid w:val="006067A5"/>
    <w:rsid w:val="00606D0D"/>
    <w:rsid w:val="00606E31"/>
    <w:rsid w:val="00606F2D"/>
    <w:rsid w:val="00606FC4"/>
    <w:rsid w:val="00607153"/>
    <w:rsid w:val="00607ACB"/>
    <w:rsid w:val="00607D14"/>
    <w:rsid w:val="0061115A"/>
    <w:rsid w:val="0061120A"/>
    <w:rsid w:val="006114FD"/>
    <w:rsid w:val="006115AA"/>
    <w:rsid w:val="0061181A"/>
    <w:rsid w:val="006125BE"/>
    <w:rsid w:val="00612982"/>
    <w:rsid w:val="00612EBD"/>
    <w:rsid w:val="00612ECE"/>
    <w:rsid w:val="00612F5C"/>
    <w:rsid w:val="00612FAA"/>
    <w:rsid w:val="006130D6"/>
    <w:rsid w:val="00613494"/>
    <w:rsid w:val="00613B21"/>
    <w:rsid w:val="006142D4"/>
    <w:rsid w:val="00614605"/>
    <w:rsid w:val="00614810"/>
    <w:rsid w:val="00614934"/>
    <w:rsid w:val="0061499F"/>
    <w:rsid w:val="00614C83"/>
    <w:rsid w:val="00615104"/>
    <w:rsid w:val="006151D8"/>
    <w:rsid w:val="006166C8"/>
    <w:rsid w:val="00616757"/>
    <w:rsid w:val="00616E1C"/>
    <w:rsid w:val="006171A7"/>
    <w:rsid w:val="006173A1"/>
    <w:rsid w:val="006174CC"/>
    <w:rsid w:val="0061777D"/>
    <w:rsid w:val="00617AD0"/>
    <w:rsid w:val="0062022D"/>
    <w:rsid w:val="00620262"/>
    <w:rsid w:val="00620C9E"/>
    <w:rsid w:val="00620E7D"/>
    <w:rsid w:val="006217EE"/>
    <w:rsid w:val="00621E9B"/>
    <w:rsid w:val="00622142"/>
    <w:rsid w:val="006227A9"/>
    <w:rsid w:val="006227C7"/>
    <w:rsid w:val="00622A8C"/>
    <w:rsid w:val="00622B18"/>
    <w:rsid w:val="00622F05"/>
    <w:rsid w:val="006234C3"/>
    <w:rsid w:val="00623A56"/>
    <w:rsid w:val="00623E07"/>
    <w:rsid w:val="006247B6"/>
    <w:rsid w:val="00624B88"/>
    <w:rsid w:val="00624B8D"/>
    <w:rsid w:val="00624BBF"/>
    <w:rsid w:val="00625293"/>
    <w:rsid w:val="00625784"/>
    <w:rsid w:val="00625915"/>
    <w:rsid w:val="006263F4"/>
    <w:rsid w:val="0062685A"/>
    <w:rsid w:val="006268AD"/>
    <w:rsid w:val="00626E4C"/>
    <w:rsid w:val="0062707B"/>
    <w:rsid w:val="0062710D"/>
    <w:rsid w:val="006274E6"/>
    <w:rsid w:val="006279C6"/>
    <w:rsid w:val="00627DFE"/>
    <w:rsid w:val="00630509"/>
    <w:rsid w:val="00630750"/>
    <w:rsid w:val="006309BD"/>
    <w:rsid w:val="00630D7F"/>
    <w:rsid w:val="00630EAA"/>
    <w:rsid w:val="00631138"/>
    <w:rsid w:val="0063143D"/>
    <w:rsid w:val="006319BE"/>
    <w:rsid w:val="00631A4E"/>
    <w:rsid w:val="00631FF8"/>
    <w:rsid w:val="00632F20"/>
    <w:rsid w:val="00633393"/>
    <w:rsid w:val="0063340C"/>
    <w:rsid w:val="00633706"/>
    <w:rsid w:val="006338CB"/>
    <w:rsid w:val="006341B9"/>
    <w:rsid w:val="00634704"/>
    <w:rsid w:val="00634A0C"/>
    <w:rsid w:val="00634B5F"/>
    <w:rsid w:val="00634BB3"/>
    <w:rsid w:val="006353B6"/>
    <w:rsid w:val="00635489"/>
    <w:rsid w:val="006359AA"/>
    <w:rsid w:val="00635C2F"/>
    <w:rsid w:val="00635D43"/>
    <w:rsid w:val="00635EFA"/>
    <w:rsid w:val="006362D4"/>
    <w:rsid w:val="006365B4"/>
    <w:rsid w:val="006367D4"/>
    <w:rsid w:val="0063684F"/>
    <w:rsid w:val="006369DC"/>
    <w:rsid w:val="00636C41"/>
    <w:rsid w:val="0063781D"/>
    <w:rsid w:val="00637836"/>
    <w:rsid w:val="00637932"/>
    <w:rsid w:val="00637F84"/>
    <w:rsid w:val="00640C4C"/>
    <w:rsid w:val="0064139C"/>
    <w:rsid w:val="006416E1"/>
    <w:rsid w:val="006417ED"/>
    <w:rsid w:val="00641A51"/>
    <w:rsid w:val="00642716"/>
    <w:rsid w:val="00642A64"/>
    <w:rsid w:val="00642A85"/>
    <w:rsid w:val="00642B1C"/>
    <w:rsid w:val="00642C2F"/>
    <w:rsid w:val="00642CCA"/>
    <w:rsid w:val="00643406"/>
    <w:rsid w:val="0064348D"/>
    <w:rsid w:val="00643755"/>
    <w:rsid w:val="006449C8"/>
    <w:rsid w:val="00644DBA"/>
    <w:rsid w:val="00644E63"/>
    <w:rsid w:val="00645098"/>
    <w:rsid w:val="00645EA7"/>
    <w:rsid w:val="006464A6"/>
    <w:rsid w:val="006466CC"/>
    <w:rsid w:val="00646BEF"/>
    <w:rsid w:val="00646C91"/>
    <w:rsid w:val="00646F3D"/>
    <w:rsid w:val="00646F90"/>
    <w:rsid w:val="00647748"/>
    <w:rsid w:val="006477E8"/>
    <w:rsid w:val="00647958"/>
    <w:rsid w:val="00647D52"/>
    <w:rsid w:val="00650921"/>
    <w:rsid w:val="00650C74"/>
    <w:rsid w:val="0065105C"/>
    <w:rsid w:val="006519E0"/>
    <w:rsid w:val="00651A41"/>
    <w:rsid w:val="00651CB7"/>
    <w:rsid w:val="00651E24"/>
    <w:rsid w:val="006520A4"/>
    <w:rsid w:val="00652188"/>
    <w:rsid w:val="00652560"/>
    <w:rsid w:val="00652AA4"/>
    <w:rsid w:val="00652D3A"/>
    <w:rsid w:val="0065306E"/>
    <w:rsid w:val="006530DA"/>
    <w:rsid w:val="006532F3"/>
    <w:rsid w:val="0065348F"/>
    <w:rsid w:val="00653495"/>
    <w:rsid w:val="0065366C"/>
    <w:rsid w:val="00653B82"/>
    <w:rsid w:val="00653CB3"/>
    <w:rsid w:val="00654062"/>
    <w:rsid w:val="00654340"/>
    <w:rsid w:val="00654436"/>
    <w:rsid w:val="0065533C"/>
    <w:rsid w:val="006554C2"/>
    <w:rsid w:val="00655596"/>
    <w:rsid w:val="00655675"/>
    <w:rsid w:val="0065573F"/>
    <w:rsid w:val="0065574C"/>
    <w:rsid w:val="00655B85"/>
    <w:rsid w:val="00655C60"/>
    <w:rsid w:val="00656309"/>
    <w:rsid w:val="00656379"/>
    <w:rsid w:val="006564E1"/>
    <w:rsid w:val="0065677B"/>
    <w:rsid w:val="00656D84"/>
    <w:rsid w:val="006570FC"/>
    <w:rsid w:val="0065734C"/>
    <w:rsid w:val="0065760E"/>
    <w:rsid w:val="00660363"/>
    <w:rsid w:val="00660522"/>
    <w:rsid w:val="006605B4"/>
    <w:rsid w:val="0066073C"/>
    <w:rsid w:val="00660A02"/>
    <w:rsid w:val="00660DB2"/>
    <w:rsid w:val="006612F6"/>
    <w:rsid w:val="00661503"/>
    <w:rsid w:val="0066159C"/>
    <w:rsid w:val="0066180C"/>
    <w:rsid w:val="00661AD9"/>
    <w:rsid w:val="00661DD6"/>
    <w:rsid w:val="00661EB1"/>
    <w:rsid w:val="006621C1"/>
    <w:rsid w:val="006621D7"/>
    <w:rsid w:val="0066358C"/>
    <w:rsid w:val="006636F7"/>
    <w:rsid w:val="0066383A"/>
    <w:rsid w:val="006649DC"/>
    <w:rsid w:val="00664A19"/>
    <w:rsid w:val="00664E4A"/>
    <w:rsid w:val="006650AC"/>
    <w:rsid w:val="00665366"/>
    <w:rsid w:val="00665F4B"/>
    <w:rsid w:val="006662D5"/>
    <w:rsid w:val="00666480"/>
    <w:rsid w:val="00666678"/>
    <w:rsid w:val="006666DF"/>
    <w:rsid w:val="00666A27"/>
    <w:rsid w:val="00666FB0"/>
    <w:rsid w:val="006679A4"/>
    <w:rsid w:val="00667AFB"/>
    <w:rsid w:val="00667CCD"/>
    <w:rsid w:val="00667EC8"/>
    <w:rsid w:val="00667F08"/>
    <w:rsid w:val="00670118"/>
    <w:rsid w:val="006703B1"/>
    <w:rsid w:val="00670575"/>
    <w:rsid w:val="006707FC"/>
    <w:rsid w:val="00670800"/>
    <w:rsid w:val="006709DF"/>
    <w:rsid w:val="00670A58"/>
    <w:rsid w:val="00670C68"/>
    <w:rsid w:val="006714F9"/>
    <w:rsid w:val="00671D01"/>
    <w:rsid w:val="0067207B"/>
    <w:rsid w:val="006726DB"/>
    <w:rsid w:val="00672D16"/>
    <w:rsid w:val="00672DE9"/>
    <w:rsid w:val="00672F8B"/>
    <w:rsid w:val="00673196"/>
    <w:rsid w:val="006732FB"/>
    <w:rsid w:val="00673847"/>
    <w:rsid w:val="006741B7"/>
    <w:rsid w:val="0067499C"/>
    <w:rsid w:val="00674A93"/>
    <w:rsid w:val="00674C62"/>
    <w:rsid w:val="00675616"/>
    <w:rsid w:val="006756A7"/>
    <w:rsid w:val="0067581D"/>
    <w:rsid w:val="00675919"/>
    <w:rsid w:val="00675E16"/>
    <w:rsid w:val="006762C9"/>
    <w:rsid w:val="00676589"/>
    <w:rsid w:val="00676B3C"/>
    <w:rsid w:val="00676C3C"/>
    <w:rsid w:val="00676E62"/>
    <w:rsid w:val="00677188"/>
    <w:rsid w:val="00677786"/>
    <w:rsid w:val="00677C5F"/>
    <w:rsid w:val="006811BA"/>
    <w:rsid w:val="00681754"/>
    <w:rsid w:val="00681BAE"/>
    <w:rsid w:val="00681E85"/>
    <w:rsid w:val="00682166"/>
    <w:rsid w:val="00682621"/>
    <w:rsid w:val="006826CD"/>
    <w:rsid w:val="00682735"/>
    <w:rsid w:val="00682BAE"/>
    <w:rsid w:val="006830FE"/>
    <w:rsid w:val="0068355F"/>
    <w:rsid w:val="006837AC"/>
    <w:rsid w:val="00683856"/>
    <w:rsid w:val="00683A52"/>
    <w:rsid w:val="00683C8C"/>
    <w:rsid w:val="00683D9D"/>
    <w:rsid w:val="00683F78"/>
    <w:rsid w:val="0068489E"/>
    <w:rsid w:val="0068540D"/>
    <w:rsid w:val="006856C2"/>
    <w:rsid w:val="006858BE"/>
    <w:rsid w:val="00685B7D"/>
    <w:rsid w:val="00686295"/>
    <w:rsid w:val="0068632E"/>
    <w:rsid w:val="006868DA"/>
    <w:rsid w:val="00686ABE"/>
    <w:rsid w:val="006873B5"/>
    <w:rsid w:val="006873C0"/>
    <w:rsid w:val="006874BE"/>
    <w:rsid w:val="006875DC"/>
    <w:rsid w:val="0068766C"/>
    <w:rsid w:val="00687A95"/>
    <w:rsid w:val="00687B3C"/>
    <w:rsid w:val="00687ED6"/>
    <w:rsid w:val="00687F1E"/>
    <w:rsid w:val="006900A7"/>
    <w:rsid w:val="006909FD"/>
    <w:rsid w:val="00690E0C"/>
    <w:rsid w:val="006910C5"/>
    <w:rsid w:val="0069144A"/>
    <w:rsid w:val="00692725"/>
    <w:rsid w:val="006927F6"/>
    <w:rsid w:val="00692B6B"/>
    <w:rsid w:val="00692C69"/>
    <w:rsid w:val="00692DFB"/>
    <w:rsid w:val="00692E9F"/>
    <w:rsid w:val="00693200"/>
    <w:rsid w:val="0069371E"/>
    <w:rsid w:val="0069378A"/>
    <w:rsid w:val="00693B59"/>
    <w:rsid w:val="00693D5B"/>
    <w:rsid w:val="00693E9D"/>
    <w:rsid w:val="006944B2"/>
    <w:rsid w:val="006952BD"/>
    <w:rsid w:val="0069577E"/>
    <w:rsid w:val="006957D2"/>
    <w:rsid w:val="00695F07"/>
    <w:rsid w:val="00696075"/>
    <w:rsid w:val="0069652D"/>
    <w:rsid w:val="006968AF"/>
    <w:rsid w:val="00696C4C"/>
    <w:rsid w:val="006979C9"/>
    <w:rsid w:val="00697E58"/>
    <w:rsid w:val="00697EB1"/>
    <w:rsid w:val="00697F90"/>
    <w:rsid w:val="00697FAB"/>
    <w:rsid w:val="006A0158"/>
    <w:rsid w:val="006A019C"/>
    <w:rsid w:val="006A01EE"/>
    <w:rsid w:val="006A023B"/>
    <w:rsid w:val="006A0578"/>
    <w:rsid w:val="006A0B27"/>
    <w:rsid w:val="006A0E79"/>
    <w:rsid w:val="006A1325"/>
    <w:rsid w:val="006A135F"/>
    <w:rsid w:val="006A139C"/>
    <w:rsid w:val="006A17F5"/>
    <w:rsid w:val="006A1A29"/>
    <w:rsid w:val="006A1DE2"/>
    <w:rsid w:val="006A1E1F"/>
    <w:rsid w:val="006A1EB1"/>
    <w:rsid w:val="006A25B7"/>
    <w:rsid w:val="006A2E7A"/>
    <w:rsid w:val="006A3126"/>
    <w:rsid w:val="006A3201"/>
    <w:rsid w:val="006A347A"/>
    <w:rsid w:val="006A42AB"/>
    <w:rsid w:val="006A46AA"/>
    <w:rsid w:val="006A4D37"/>
    <w:rsid w:val="006A5F88"/>
    <w:rsid w:val="006A63C5"/>
    <w:rsid w:val="006A6533"/>
    <w:rsid w:val="006A6767"/>
    <w:rsid w:val="006A6783"/>
    <w:rsid w:val="006A67B8"/>
    <w:rsid w:val="006A6D2D"/>
    <w:rsid w:val="006A78ED"/>
    <w:rsid w:val="006B00A5"/>
    <w:rsid w:val="006B012F"/>
    <w:rsid w:val="006B04DC"/>
    <w:rsid w:val="006B0647"/>
    <w:rsid w:val="006B07D4"/>
    <w:rsid w:val="006B0ECE"/>
    <w:rsid w:val="006B0F1F"/>
    <w:rsid w:val="006B1452"/>
    <w:rsid w:val="006B171B"/>
    <w:rsid w:val="006B1B9E"/>
    <w:rsid w:val="006B2155"/>
    <w:rsid w:val="006B21FC"/>
    <w:rsid w:val="006B2BB4"/>
    <w:rsid w:val="006B2C16"/>
    <w:rsid w:val="006B2C7E"/>
    <w:rsid w:val="006B2EF8"/>
    <w:rsid w:val="006B39C3"/>
    <w:rsid w:val="006B3B7D"/>
    <w:rsid w:val="006B3BD4"/>
    <w:rsid w:val="006B3BEA"/>
    <w:rsid w:val="006B3F66"/>
    <w:rsid w:val="006B41AB"/>
    <w:rsid w:val="006B4750"/>
    <w:rsid w:val="006B49F2"/>
    <w:rsid w:val="006B4B87"/>
    <w:rsid w:val="006B52DD"/>
    <w:rsid w:val="006B5C3E"/>
    <w:rsid w:val="006B5D64"/>
    <w:rsid w:val="006B6096"/>
    <w:rsid w:val="006B60DF"/>
    <w:rsid w:val="006B61CB"/>
    <w:rsid w:val="006B6211"/>
    <w:rsid w:val="006B6C80"/>
    <w:rsid w:val="006B6FBE"/>
    <w:rsid w:val="006B739B"/>
    <w:rsid w:val="006C01A4"/>
    <w:rsid w:val="006C0615"/>
    <w:rsid w:val="006C0887"/>
    <w:rsid w:val="006C0F88"/>
    <w:rsid w:val="006C1048"/>
    <w:rsid w:val="006C16B7"/>
    <w:rsid w:val="006C17E7"/>
    <w:rsid w:val="006C1E3A"/>
    <w:rsid w:val="006C21D5"/>
    <w:rsid w:val="006C2965"/>
    <w:rsid w:val="006C2C15"/>
    <w:rsid w:val="006C2D53"/>
    <w:rsid w:val="006C310D"/>
    <w:rsid w:val="006C334A"/>
    <w:rsid w:val="006C37FA"/>
    <w:rsid w:val="006C380F"/>
    <w:rsid w:val="006C389A"/>
    <w:rsid w:val="006C39E7"/>
    <w:rsid w:val="006C3E6C"/>
    <w:rsid w:val="006C4214"/>
    <w:rsid w:val="006C4490"/>
    <w:rsid w:val="006C4766"/>
    <w:rsid w:val="006C47DE"/>
    <w:rsid w:val="006C4B9B"/>
    <w:rsid w:val="006C4BE9"/>
    <w:rsid w:val="006C4C1F"/>
    <w:rsid w:val="006C51C4"/>
    <w:rsid w:val="006C52AB"/>
    <w:rsid w:val="006C5453"/>
    <w:rsid w:val="006C5563"/>
    <w:rsid w:val="006C5CE2"/>
    <w:rsid w:val="006C6326"/>
    <w:rsid w:val="006C67F1"/>
    <w:rsid w:val="006C68BE"/>
    <w:rsid w:val="006C6978"/>
    <w:rsid w:val="006C6E1E"/>
    <w:rsid w:val="006C705B"/>
    <w:rsid w:val="006C725B"/>
    <w:rsid w:val="006C760D"/>
    <w:rsid w:val="006C760F"/>
    <w:rsid w:val="006C7DB5"/>
    <w:rsid w:val="006C7FB7"/>
    <w:rsid w:val="006D0207"/>
    <w:rsid w:val="006D02A6"/>
    <w:rsid w:val="006D04AE"/>
    <w:rsid w:val="006D10ED"/>
    <w:rsid w:val="006D11AD"/>
    <w:rsid w:val="006D132E"/>
    <w:rsid w:val="006D13BB"/>
    <w:rsid w:val="006D1AB3"/>
    <w:rsid w:val="006D1AB7"/>
    <w:rsid w:val="006D1B2D"/>
    <w:rsid w:val="006D1B3C"/>
    <w:rsid w:val="006D1D11"/>
    <w:rsid w:val="006D2442"/>
    <w:rsid w:val="006D2845"/>
    <w:rsid w:val="006D28AC"/>
    <w:rsid w:val="006D2DB7"/>
    <w:rsid w:val="006D305A"/>
    <w:rsid w:val="006D319A"/>
    <w:rsid w:val="006D329A"/>
    <w:rsid w:val="006D3765"/>
    <w:rsid w:val="006D3892"/>
    <w:rsid w:val="006D3E58"/>
    <w:rsid w:val="006D3F10"/>
    <w:rsid w:val="006D4B87"/>
    <w:rsid w:val="006D515E"/>
    <w:rsid w:val="006D52DC"/>
    <w:rsid w:val="006D5578"/>
    <w:rsid w:val="006D5651"/>
    <w:rsid w:val="006D57AD"/>
    <w:rsid w:val="006D5AFB"/>
    <w:rsid w:val="006D64E6"/>
    <w:rsid w:val="006D65C1"/>
    <w:rsid w:val="006D6B28"/>
    <w:rsid w:val="006D6BB4"/>
    <w:rsid w:val="006D6D6D"/>
    <w:rsid w:val="006D6FC5"/>
    <w:rsid w:val="006D75EE"/>
    <w:rsid w:val="006D7684"/>
    <w:rsid w:val="006D77FC"/>
    <w:rsid w:val="006E0068"/>
    <w:rsid w:val="006E0BDC"/>
    <w:rsid w:val="006E0EDC"/>
    <w:rsid w:val="006E1247"/>
    <w:rsid w:val="006E12B0"/>
    <w:rsid w:val="006E1DA4"/>
    <w:rsid w:val="006E23D5"/>
    <w:rsid w:val="006E2876"/>
    <w:rsid w:val="006E2F45"/>
    <w:rsid w:val="006E381B"/>
    <w:rsid w:val="006E3BCE"/>
    <w:rsid w:val="006E3BF4"/>
    <w:rsid w:val="006E3C47"/>
    <w:rsid w:val="006E3CDA"/>
    <w:rsid w:val="006E3D8F"/>
    <w:rsid w:val="006E3F21"/>
    <w:rsid w:val="006E5290"/>
    <w:rsid w:val="006E52D1"/>
    <w:rsid w:val="006E568A"/>
    <w:rsid w:val="006E5FC6"/>
    <w:rsid w:val="006E6556"/>
    <w:rsid w:val="006E66D7"/>
    <w:rsid w:val="006E6925"/>
    <w:rsid w:val="006E692B"/>
    <w:rsid w:val="006E6A29"/>
    <w:rsid w:val="006E6E8A"/>
    <w:rsid w:val="006E7D59"/>
    <w:rsid w:val="006E7F94"/>
    <w:rsid w:val="006F007D"/>
    <w:rsid w:val="006F05F6"/>
    <w:rsid w:val="006F06A1"/>
    <w:rsid w:val="006F0AA5"/>
    <w:rsid w:val="006F0D6F"/>
    <w:rsid w:val="006F1076"/>
    <w:rsid w:val="006F1208"/>
    <w:rsid w:val="006F1472"/>
    <w:rsid w:val="006F177D"/>
    <w:rsid w:val="006F19E8"/>
    <w:rsid w:val="006F1A3D"/>
    <w:rsid w:val="006F1E57"/>
    <w:rsid w:val="006F2678"/>
    <w:rsid w:val="006F268B"/>
    <w:rsid w:val="006F289D"/>
    <w:rsid w:val="006F2F95"/>
    <w:rsid w:val="006F303D"/>
    <w:rsid w:val="006F30DB"/>
    <w:rsid w:val="006F3102"/>
    <w:rsid w:val="006F3A1A"/>
    <w:rsid w:val="006F3A52"/>
    <w:rsid w:val="006F3A58"/>
    <w:rsid w:val="006F3DE3"/>
    <w:rsid w:val="006F41C3"/>
    <w:rsid w:val="006F4217"/>
    <w:rsid w:val="006F4DC5"/>
    <w:rsid w:val="006F4E47"/>
    <w:rsid w:val="006F5816"/>
    <w:rsid w:val="006F5D6D"/>
    <w:rsid w:val="006F5EB4"/>
    <w:rsid w:val="006F6003"/>
    <w:rsid w:val="006F677D"/>
    <w:rsid w:val="006F706D"/>
    <w:rsid w:val="006F728D"/>
    <w:rsid w:val="006F751D"/>
    <w:rsid w:val="006F7680"/>
    <w:rsid w:val="006F7AAD"/>
    <w:rsid w:val="006F7ABF"/>
    <w:rsid w:val="006F7E5A"/>
    <w:rsid w:val="0070007B"/>
    <w:rsid w:val="0070023C"/>
    <w:rsid w:val="007002F9"/>
    <w:rsid w:val="007005DC"/>
    <w:rsid w:val="00700798"/>
    <w:rsid w:val="0070085D"/>
    <w:rsid w:val="00700BA3"/>
    <w:rsid w:val="00700D88"/>
    <w:rsid w:val="00700EF4"/>
    <w:rsid w:val="00701020"/>
    <w:rsid w:val="00701277"/>
    <w:rsid w:val="007012A3"/>
    <w:rsid w:val="007017B3"/>
    <w:rsid w:val="00701A59"/>
    <w:rsid w:val="00701DAA"/>
    <w:rsid w:val="007023FD"/>
    <w:rsid w:val="0070278E"/>
    <w:rsid w:val="007030D6"/>
    <w:rsid w:val="007035CA"/>
    <w:rsid w:val="007039E6"/>
    <w:rsid w:val="00703BEA"/>
    <w:rsid w:val="00703C8B"/>
    <w:rsid w:val="00703E06"/>
    <w:rsid w:val="007040E5"/>
    <w:rsid w:val="007045E6"/>
    <w:rsid w:val="007046AB"/>
    <w:rsid w:val="00704A2D"/>
    <w:rsid w:val="00704D4A"/>
    <w:rsid w:val="007052BC"/>
    <w:rsid w:val="0070584D"/>
    <w:rsid w:val="007067D1"/>
    <w:rsid w:val="00706818"/>
    <w:rsid w:val="00706946"/>
    <w:rsid w:val="00706A6E"/>
    <w:rsid w:val="00706D6F"/>
    <w:rsid w:val="007073D6"/>
    <w:rsid w:val="00707B9C"/>
    <w:rsid w:val="00710622"/>
    <w:rsid w:val="007109F4"/>
    <w:rsid w:val="00711974"/>
    <w:rsid w:val="00712190"/>
    <w:rsid w:val="00712236"/>
    <w:rsid w:val="00712386"/>
    <w:rsid w:val="00712A5C"/>
    <w:rsid w:val="00712AF4"/>
    <w:rsid w:val="00713069"/>
    <w:rsid w:val="00714A2B"/>
    <w:rsid w:val="00714B98"/>
    <w:rsid w:val="00714C64"/>
    <w:rsid w:val="00714CB7"/>
    <w:rsid w:val="0071522B"/>
    <w:rsid w:val="007153BA"/>
    <w:rsid w:val="00715F41"/>
    <w:rsid w:val="007162AA"/>
    <w:rsid w:val="007162EC"/>
    <w:rsid w:val="00716C6E"/>
    <w:rsid w:val="00716C72"/>
    <w:rsid w:val="007170EE"/>
    <w:rsid w:val="007177F4"/>
    <w:rsid w:val="00717C86"/>
    <w:rsid w:val="00720282"/>
    <w:rsid w:val="00720546"/>
    <w:rsid w:val="007205AE"/>
    <w:rsid w:val="007207F5"/>
    <w:rsid w:val="00720E80"/>
    <w:rsid w:val="00720EE1"/>
    <w:rsid w:val="007213F8"/>
    <w:rsid w:val="0072179A"/>
    <w:rsid w:val="00721ABF"/>
    <w:rsid w:val="00721CDA"/>
    <w:rsid w:val="00722A51"/>
    <w:rsid w:val="00722D0D"/>
    <w:rsid w:val="00722E5A"/>
    <w:rsid w:val="00722F65"/>
    <w:rsid w:val="0072328F"/>
    <w:rsid w:val="00723A35"/>
    <w:rsid w:val="00723B68"/>
    <w:rsid w:val="007247F1"/>
    <w:rsid w:val="00725773"/>
    <w:rsid w:val="00725AF4"/>
    <w:rsid w:val="00725E17"/>
    <w:rsid w:val="00726271"/>
    <w:rsid w:val="007268BF"/>
    <w:rsid w:val="00726F4C"/>
    <w:rsid w:val="007273DB"/>
    <w:rsid w:val="0072753E"/>
    <w:rsid w:val="00727DBA"/>
    <w:rsid w:val="007303E6"/>
    <w:rsid w:val="00730474"/>
    <w:rsid w:val="00730541"/>
    <w:rsid w:val="00730640"/>
    <w:rsid w:val="00730891"/>
    <w:rsid w:val="00730922"/>
    <w:rsid w:val="00730997"/>
    <w:rsid w:val="00730D9D"/>
    <w:rsid w:val="00730E95"/>
    <w:rsid w:val="00731740"/>
    <w:rsid w:val="00731F3F"/>
    <w:rsid w:val="00732115"/>
    <w:rsid w:val="00732135"/>
    <w:rsid w:val="00732137"/>
    <w:rsid w:val="00732187"/>
    <w:rsid w:val="007327CE"/>
    <w:rsid w:val="00732E43"/>
    <w:rsid w:val="007332FE"/>
    <w:rsid w:val="0073343A"/>
    <w:rsid w:val="00733A23"/>
    <w:rsid w:val="00733EAE"/>
    <w:rsid w:val="0073415B"/>
    <w:rsid w:val="007342F8"/>
    <w:rsid w:val="00734D8B"/>
    <w:rsid w:val="00734EB7"/>
    <w:rsid w:val="007359B5"/>
    <w:rsid w:val="00735A11"/>
    <w:rsid w:val="00736139"/>
    <w:rsid w:val="0073650C"/>
    <w:rsid w:val="00736A58"/>
    <w:rsid w:val="00736D15"/>
    <w:rsid w:val="0073728C"/>
    <w:rsid w:val="0073737F"/>
    <w:rsid w:val="00740360"/>
    <w:rsid w:val="0074042B"/>
    <w:rsid w:val="0074048C"/>
    <w:rsid w:val="00740529"/>
    <w:rsid w:val="00740614"/>
    <w:rsid w:val="007407E2"/>
    <w:rsid w:val="00740894"/>
    <w:rsid w:val="00740DC7"/>
    <w:rsid w:val="00741059"/>
    <w:rsid w:val="0074175A"/>
    <w:rsid w:val="007418A9"/>
    <w:rsid w:val="00741C08"/>
    <w:rsid w:val="00741D03"/>
    <w:rsid w:val="00742117"/>
    <w:rsid w:val="0074221D"/>
    <w:rsid w:val="00742423"/>
    <w:rsid w:val="00742600"/>
    <w:rsid w:val="00742876"/>
    <w:rsid w:val="007429D4"/>
    <w:rsid w:val="00742D87"/>
    <w:rsid w:val="007430EB"/>
    <w:rsid w:val="00743C63"/>
    <w:rsid w:val="00743C8C"/>
    <w:rsid w:val="007440B5"/>
    <w:rsid w:val="00744856"/>
    <w:rsid w:val="007448D0"/>
    <w:rsid w:val="00744CEC"/>
    <w:rsid w:val="00744D06"/>
    <w:rsid w:val="00745334"/>
    <w:rsid w:val="00745E4B"/>
    <w:rsid w:val="00745F94"/>
    <w:rsid w:val="007460EA"/>
    <w:rsid w:val="007464BA"/>
    <w:rsid w:val="007467F0"/>
    <w:rsid w:val="00746D08"/>
    <w:rsid w:val="007503BD"/>
    <w:rsid w:val="0075044E"/>
    <w:rsid w:val="00750C29"/>
    <w:rsid w:val="00750D36"/>
    <w:rsid w:val="00750D7C"/>
    <w:rsid w:val="00751585"/>
    <w:rsid w:val="00751F35"/>
    <w:rsid w:val="007527A7"/>
    <w:rsid w:val="00753117"/>
    <w:rsid w:val="00753695"/>
    <w:rsid w:val="0075382B"/>
    <w:rsid w:val="00753C80"/>
    <w:rsid w:val="00754206"/>
    <w:rsid w:val="007544B2"/>
    <w:rsid w:val="00754ECC"/>
    <w:rsid w:val="0075558F"/>
    <w:rsid w:val="00755717"/>
    <w:rsid w:val="00755772"/>
    <w:rsid w:val="00755CF2"/>
    <w:rsid w:val="0075660D"/>
    <w:rsid w:val="00756EF2"/>
    <w:rsid w:val="00757453"/>
    <w:rsid w:val="00757459"/>
    <w:rsid w:val="00757661"/>
    <w:rsid w:val="00757938"/>
    <w:rsid w:val="007609BD"/>
    <w:rsid w:val="007609E0"/>
    <w:rsid w:val="007609EB"/>
    <w:rsid w:val="00761310"/>
    <w:rsid w:val="0076170B"/>
    <w:rsid w:val="007636D7"/>
    <w:rsid w:val="0076400C"/>
    <w:rsid w:val="007642AF"/>
    <w:rsid w:val="00764915"/>
    <w:rsid w:val="0076495E"/>
    <w:rsid w:val="00764B1E"/>
    <w:rsid w:val="00764FB4"/>
    <w:rsid w:val="0076571C"/>
    <w:rsid w:val="0076594D"/>
    <w:rsid w:val="00765B01"/>
    <w:rsid w:val="00766412"/>
    <w:rsid w:val="00766D15"/>
    <w:rsid w:val="0076709A"/>
    <w:rsid w:val="007672E5"/>
    <w:rsid w:val="007675A5"/>
    <w:rsid w:val="007676D2"/>
    <w:rsid w:val="0076775B"/>
    <w:rsid w:val="00767D0F"/>
    <w:rsid w:val="007700F1"/>
    <w:rsid w:val="007702CA"/>
    <w:rsid w:val="0077052D"/>
    <w:rsid w:val="0077069E"/>
    <w:rsid w:val="007706CA"/>
    <w:rsid w:val="007707B9"/>
    <w:rsid w:val="00770894"/>
    <w:rsid w:val="0077246A"/>
    <w:rsid w:val="007725B4"/>
    <w:rsid w:val="00772AC5"/>
    <w:rsid w:val="00772B29"/>
    <w:rsid w:val="00773113"/>
    <w:rsid w:val="00773220"/>
    <w:rsid w:val="00773911"/>
    <w:rsid w:val="00773BD1"/>
    <w:rsid w:val="00774307"/>
    <w:rsid w:val="007743B5"/>
    <w:rsid w:val="00774511"/>
    <w:rsid w:val="0077495B"/>
    <w:rsid w:val="00774F52"/>
    <w:rsid w:val="007751AC"/>
    <w:rsid w:val="007751CF"/>
    <w:rsid w:val="00775501"/>
    <w:rsid w:val="00775A05"/>
    <w:rsid w:val="00775AA2"/>
    <w:rsid w:val="00775DEF"/>
    <w:rsid w:val="00775F15"/>
    <w:rsid w:val="00775F3B"/>
    <w:rsid w:val="00775F4A"/>
    <w:rsid w:val="0077618F"/>
    <w:rsid w:val="00776363"/>
    <w:rsid w:val="007763EB"/>
    <w:rsid w:val="007767D1"/>
    <w:rsid w:val="00776844"/>
    <w:rsid w:val="007768A1"/>
    <w:rsid w:val="00776F09"/>
    <w:rsid w:val="007772E0"/>
    <w:rsid w:val="0077750E"/>
    <w:rsid w:val="007778DC"/>
    <w:rsid w:val="00777D32"/>
    <w:rsid w:val="00777DA5"/>
    <w:rsid w:val="0078029D"/>
    <w:rsid w:val="00780466"/>
    <w:rsid w:val="00780C64"/>
    <w:rsid w:val="007811A4"/>
    <w:rsid w:val="0078136D"/>
    <w:rsid w:val="007815A9"/>
    <w:rsid w:val="00781843"/>
    <w:rsid w:val="007828A2"/>
    <w:rsid w:val="00782B0D"/>
    <w:rsid w:val="00782B67"/>
    <w:rsid w:val="00783351"/>
    <w:rsid w:val="00783AAD"/>
    <w:rsid w:val="00783CDD"/>
    <w:rsid w:val="00783E0D"/>
    <w:rsid w:val="00783E14"/>
    <w:rsid w:val="00783FEB"/>
    <w:rsid w:val="00784C85"/>
    <w:rsid w:val="00784FBF"/>
    <w:rsid w:val="007851ED"/>
    <w:rsid w:val="007856BA"/>
    <w:rsid w:val="00785812"/>
    <w:rsid w:val="007859AB"/>
    <w:rsid w:val="00785A97"/>
    <w:rsid w:val="0078605B"/>
    <w:rsid w:val="00786382"/>
    <w:rsid w:val="00786B13"/>
    <w:rsid w:val="00786E5F"/>
    <w:rsid w:val="00786E84"/>
    <w:rsid w:val="0078707D"/>
    <w:rsid w:val="00787195"/>
    <w:rsid w:val="007874DF"/>
    <w:rsid w:val="007878E9"/>
    <w:rsid w:val="00787C17"/>
    <w:rsid w:val="00790571"/>
    <w:rsid w:val="00790A9F"/>
    <w:rsid w:val="00790AF8"/>
    <w:rsid w:val="00790B48"/>
    <w:rsid w:val="00790E8D"/>
    <w:rsid w:val="00791BC5"/>
    <w:rsid w:val="00791D32"/>
    <w:rsid w:val="0079309B"/>
    <w:rsid w:val="0079310C"/>
    <w:rsid w:val="007938FF"/>
    <w:rsid w:val="00793F09"/>
    <w:rsid w:val="007944A2"/>
    <w:rsid w:val="00794CF9"/>
    <w:rsid w:val="007950AD"/>
    <w:rsid w:val="007951BD"/>
    <w:rsid w:val="007953E2"/>
    <w:rsid w:val="00795A28"/>
    <w:rsid w:val="0079602E"/>
    <w:rsid w:val="00796346"/>
    <w:rsid w:val="00796544"/>
    <w:rsid w:val="0079708F"/>
    <w:rsid w:val="00797A35"/>
    <w:rsid w:val="00797CA8"/>
    <w:rsid w:val="00797DE5"/>
    <w:rsid w:val="007A026C"/>
    <w:rsid w:val="007A05A1"/>
    <w:rsid w:val="007A1DF2"/>
    <w:rsid w:val="007A212A"/>
    <w:rsid w:val="007A21AC"/>
    <w:rsid w:val="007A2AA4"/>
    <w:rsid w:val="007A2B5F"/>
    <w:rsid w:val="007A2C4C"/>
    <w:rsid w:val="007A2F06"/>
    <w:rsid w:val="007A34C3"/>
    <w:rsid w:val="007A36E2"/>
    <w:rsid w:val="007A38C0"/>
    <w:rsid w:val="007A398A"/>
    <w:rsid w:val="007A3D97"/>
    <w:rsid w:val="007A3E4E"/>
    <w:rsid w:val="007A407E"/>
    <w:rsid w:val="007A4213"/>
    <w:rsid w:val="007A59B4"/>
    <w:rsid w:val="007A5C65"/>
    <w:rsid w:val="007A5D9B"/>
    <w:rsid w:val="007A602F"/>
    <w:rsid w:val="007A604A"/>
    <w:rsid w:val="007A63C8"/>
    <w:rsid w:val="007A64A5"/>
    <w:rsid w:val="007A6888"/>
    <w:rsid w:val="007A6D12"/>
    <w:rsid w:val="007A70C9"/>
    <w:rsid w:val="007A7251"/>
    <w:rsid w:val="007A74B2"/>
    <w:rsid w:val="007A785A"/>
    <w:rsid w:val="007A7AF4"/>
    <w:rsid w:val="007B03CC"/>
    <w:rsid w:val="007B0500"/>
    <w:rsid w:val="007B0839"/>
    <w:rsid w:val="007B0AC3"/>
    <w:rsid w:val="007B0D1C"/>
    <w:rsid w:val="007B0D4F"/>
    <w:rsid w:val="007B0EBA"/>
    <w:rsid w:val="007B1218"/>
    <w:rsid w:val="007B1CB7"/>
    <w:rsid w:val="007B2194"/>
    <w:rsid w:val="007B2806"/>
    <w:rsid w:val="007B2900"/>
    <w:rsid w:val="007B2977"/>
    <w:rsid w:val="007B2D8B"/>
    <w:rsid w:val="007B3CA8"/>
    <w:rsid w:val="007B3D63"/>
    <w:rsid w:val="007B48E4"/>
    <w:rsid w:val="007B4A1C"/>
    <w:rsid w:val="007B582B"/>
    <w:rsid w:val="007B5D30"/>
    <w:rsid w:val="007B6911"/>
    <w:rsid w:val="007B69F2"/>
    <w:rsid w:val="007B6D19"/>
    <w:rsid w:val="007B6F2C"/>
    <w:rsid w:val="007B7163"/>
    <w:rsid w:val="007B76A5"/>
    <w:rsid w:val="007B778D"/>
    <w:rsid w:val="007B7D2C"/>
    <w:rsid w:val="007B7D7E"/>
    <w:rsid w:val="007C015A"/>
    <w:rsid w:val="007C05A1"/>
    <w:rsid w:val="007C06A3"/>
    <w:rsid w:val="007C09C3"/>
    <w:rsid w:val="007C0B2B"/>
    <w:rsid w:val="007C12F5"/>
    <w:rsid w:val="007C12FA"/>
    <w:rsid w:val="007C1491"/>
    <w:rsid w:val="007C17E8"/>
    <w:rsid w:val="007C1898"/>
    <w:rsid w:val="007C1D43"/>
    <w:rsid w:val="007C2B09"/>
    <w:rsid w:val="007C2C46"/>
    <w:rsid w:val="007C2D11"/>
    <w:rsid w:val="007C2EE6"/>
    <w:rsid w:val="007C3279"/>
    <w:rsid w:val="007C39E6"/>
    <w:rsid w:val="007C3B92"/>
    <w:rsid w:val="007C41B0"/>
    <w:rsid w:val="007C42FA"/>
    <w:rsid w:val="007C43BC"/>
    <w:rsid w:val="007C4D18"/>
    <w:rsid w:val="007C4D1A"/>
    <w:rsid w:val="007C5276"/>
    <w:rsid w:val="007C5A17"/>
    <w:rsid w:val="007C5F5F"/>
    <w:rsid w:val="007C61BE"/>
    <w:rsid w:val="007C6560"/>
    <w:rsid w:val="007C66BD"/>
    <w:rsid w:val="007C66C5"/>
    <w:rsid w:val="007C6737"/>
    <w:rsid w:val="007C6941"/>
    <w:rsid w:val="007C6B84"/>
    <w:rsid w:val="007C72E6"/>
    <w:rsid w:val="007C7DBB"/>
    <w:rsid w:val="007D010B"/>
    <w:rsid w:val="007D0382"/>
    <w:rsid w:val="007D0462"/>
    <w:rsid w:val="007D0730"/>
    <w:rsid w:val="007D093B"/>
    <w:rsid w:val="007D0C13"/>
    <w:rsid w:val="007D1066"/>
    <w:rsid w:val="007D10D6"/>
    <w:rsid w:val="007D145C"/>
    <w:rsid w:val="007D196A"/>
    <w:rsid w:val="007D1AA6"/>
    <w:rsid w:val="007D1CCD"/>
    <w:rsid w:val="007D1EEA"/>
    <w:rsid w:val="007D1F20"/>
    <w:rsid w:val="007D23E2"/>
    <w:rsid w:val="007D2FF2"/>
    <w:rsid w:val="007D3343"/>
    <w:rsid w:val="007D4014"/>
    <w:rsid w:val="007D4247"/>
    <w:rsid w:val="007D42E9"/>
    <w:rsid w:val="007D4858"/>
    <w:rsid w:val="007D4BB2"/>
    <w:rsid w:val="007D5296"/>
    <w:rsid w:val="007D59BD"/>
    <w:rsid w:val="007D6C45"/>
    <w:rsid w:val="007D734C"/>
    <w:rsid w:val="007D73B3"/>
    <w:rsid w:val="007D7542"/>
    <w:rsid w:val="007D7CF6"/>
    <w:rsid w:val="007D7DDC"/>
    <w:rsid w:val="007D7DFC"/>
    <w:rsid w:val="007D7ED9"/>
    <w:rsid w:val="007E0020"/>
    <w:rsid w:val="007E051A"/>
    <w:rsid w:val="007E05B8"/>
    <w:rsid w:val="007E084A"/>
    <w:rsid w:val="007E0891"/>
    <w:rsid w:val="007E0A56"/>
    <w:rsid w:val="007E0E42"/>
    <w:rsid w:val="007E10D3"/>
    <w:rsid w:val="007E12E7"/>
    <w:rsid w:val="007E12F6"/>
    <w:rsid w:val="007E13D0"/>
    <w:rsid w:val="007E1711"/>
    <w:rsid w:val="007E18A0"/>
    <w:rsid w:val="007E2403"/>
    <w:rsid w:val="007E29B8"/>
    <w:rsid w:val="007E3281"/>
    <w:rsid w:val="007E3353"/>
    <w:rsid w:val="007E36CF"/>
    <w:rsid w:val="007E3831"/>
    <w:rsid w:val="007E386B"/>
    <w:rsid w:val="007E3897"/>
    <w:rsid w:val="007E3B13"/>
    <w:rsid w:val="007E3CBC"/>
    <w:rsid w:val="007E3D6D"/>
    <w:rsid w:val="007E4116"/>
    <w:rsid w:val="007E4309"/>
    <w:rsid w:val="007E4427"/>
    <w:rsid w:val="007E455C"/>
    <w:rsid w:val="007E47D6"/>
    <w:rsid w:val="007E54AD"/>
    <w:rsid w:val="007E550C"/>
    <w:rsid w:val="007E573B"/>
    <w:rsid w:val="007E585E"/>
    <w:rsid w:val="007E5D5C"/>
    <w:rsid w:val="007E5EB4"/>
    <w:rsid w:val="007E600D"/>
    <w:rsid w:val="007E6982"/>
    <w:rsid w:val="007E6BC7"/>
    <w:rsid w:val="007E6BCD"/>
    <w:rsid w:val="007E7D08"/>
    <w:rsid w:val="007F0B83"/>
    <w:rsid w:val="007F0E80"/>
    <w:rsid w:val="007F0FC5"/>
    <w:rsid w:val="007F100D"/>
    <w:rsid w:val="007F13A6"/>
    <w:rsid w:val="007F1525"/>
    <w:rsid w:val="007F153E"/>
    <w:rsid w:val="007F19E5"/>
    <w:rsid w:val="007F1BA7"/>
    <w:rsid w:val="007F2116"/>
    <w:rsid w:val="007F2556"/>
    <w:rsid w:val="007F270C"/>
    <w:rsid w:val="007F2785"/>
    <w:rsid w:val="007F2917"/>
    <w:rsid w:val="007F2BC5"/>
    <w:rsid w:val="007F2C70"/>
    <w:rsid w:val="007F317C"/>
    <w:rsid w:val="007F35BF"/>
    <w:rsid w:val="007F368A"/>
    <w:rsid w:val="007F39C5"/>
    <w:rsid w:val="007F3B35"/>
    <w:rsid w:val="007F3E5F"/>
    <w:rsid w:val="007F3F2C"/>
    <w:rsid w:val="007F3FAB"/>
    <w:rsid w:val="007F40B9"/>
    <w:rsid w:val="007F459A"/>
    <w:rsid w:val="007F45E9"/>
    <w:rsid w:val="007F47D9"/>
    <w:rsid w:val="007F4ACE"/>
    <w:rsid w:val="007F5438"/>
    <w:rsid w:val="007F5481"/>
    <w:rsid w:val="007F5EBB"/>
    <w:rsid w:val="007F62AA"/>
    <w:rsid w:val="007F648A"/>
    <w:rsid w:val="007F6BA1"/>
    <w:rsid w:val="007F6C75"/>
    <w:rsid w:val="007F6CA9"/>
    <w:rsid w:val="007F6CBB"/>
    <w:rsid w:val="007F6D4C"/>
    <w:rsid w:val="007F70CA"/>
    <w:rsid w:val="007F74B6"/>
    <w:rsid w:val="007F77A1"/>
    <w:rsid w:val="008002D3"/>
    <w:rsid w:val="008008F5"/>
    <w:rsid w:val="008011D6"/>
    <w:rsid w:val="00801440"/>
    <w:rsid w:val="00801592"/>
    <w:rsid w:val="00801808"/>
    <w:rsid w:val="00801AA3"/>
    <w:rsid w:val="00801DEC"/>
    <w:rsid w:val="00801F63"/>
    <w:rsid w:val="00802BDC"/>
    <w:rsid w:val="00803011"/>
    <w:rsid w:val="008036C9"/>
    <w:rsid w:val="008036FC"/>
    <w:rsid w:val="008039DC"/>
    <w:rsid w:val="00803B9F"/>
    <w:rsid w:val="008042F8"/>
    <w:rsid w:val="008047A8"/>
    <w:rsid w:val="008053A4"/>
    <w:rsid w:val="00805484"/>
    <w:rsid w:val="0080561F"/>
    <w:rsid w:val="00805625"/>
    <w:rsid w:val="0080618A"/>
    <w:rsid w:val="0080638B"/>
    <w:rsid w:val="0080687F"/>
    <w:rsid w:val="00806A6F"/>
    <w:rsid w:val="00806B41"/>
    <w:rsid w:val="00806C06"/>
    <w:rsid w:val="00806C5B"/>
    <w:rsid w:val="00806D47"/>
    <w:rsid w:val="00807037"/>
    <w:rsid w:val="008070FC"/>
    <w:rsid w:val="008075C0"/>
    <w:rsid w:val="008100B2"/>
    <w:rsid w:val="00810149"/>
    <w:rsid w:val="00810306"/>
    <w:rsid w:val="00810661"/>
    <w:rsid w:val="0081073E"/>
    <w:rsid w:val="00810B72"/>
    <w:rsid w:val="00810E87"/>
    <w:rsid w:val="00811293"/>
    <w:rsid w:val="008118C7"/>
    <w:rsid w:val="00812175"/>
    <w:rsid w:val="00812216"/>
    <w:rsid w:val="008123E4"/>
    <w:rsid w:val="00812470"/>
    <w:rsid w:val="0081308E"/>
    <w:rsid w:val="008133F1"/>
    <w:rsid w:val="00813E81"/>
    <w:rsid w:val="008147F5"/>
    <w:rsid w:val="00814F9F"/>
    <w:rsid w:val="00814FBB"/>
    <w:rsid w:val="00815246"/>
    <w:rsid w:val="008153E9"/>
    <w:rsid w:val="00815531"/>
    <w:rsid w:val="00815ECE"/>
    <w:rsid w:val="00815EF0"/>
    <w:rsid w:val="00815F9B"/>
    <w:rsid w:val="0081601A"/>
    <w:rsid w:val="008162EF"/>
    <w:rsid w:val="008164F6"/>
    <w:rsid w:val="00816B1D"/>
    <w:rsid w:val="00816BF1"/>
    <w:rsid w:val="00817317"/>
    <w:rsid w:val="008173C1"/>
    <w:rsid w:val="008176DF"/>
    <w:rsid w:val="00817F9D"/>
    <w:rsid w:val="00820773"/>
    <w:rsid w:val="00820A75"/>
    <w:rsid w:val="00820F19"/>
    <w:rsid w:val="0082120C"/>
    <w:rsid w:val="008219CD"/>
    <w:rsid w:val="008219EE"/>
    <w:rsid w:val="00821B69"/>
    <w:rsid w:val="00821CD8"/>
    <w:rsid w:val="00821E54"/>
    <w:rsid w:val="008226E1"/>
    <w:rsid w:val="00822DE9"/>
    <w:rsid w:val="00823147"/>
    <w:rsid w:val="008232C8"/>
    <w:rsid w:val="00823655"/>
    <w:rsid w:val="00823DC0"/>
    <w:rsid w:val="0082405C"/>
    <w:rsid w:val="008242B4"/>
    <w:rsid w:val="0082441F"/>
    <w:rsid w:val="0082446D"/>
    <w:rsid w:val="0082468B"/>
    <w:rsid w:val="0082488E"/>
    <w:rsid w:val="008250DD"/>
    <w:rsid w:val="0082538A"/>
    <w:rsid w:val="008254D4"/>
    <w:rsid w:val="00825522"/>
    <w:rsid w:val="0082570E"/>
    <w:rsid w:val="008258BC"/>
    <w:rsid w:val="00825AAE"/>
    <w:rsid w:val="00826070"/>
    <w:rsid w:val="008268E8"/>
    <w:rsid w:val="00826EDF"/>
    <w:rsid w:val="008277A7"/>
    <w:rsid w:val="0082794C"/>
    <w:rsid w:val="008279E6"/>
    <w:rsid w:val="00830517"/>
    <w:rsid w:val="0083063F"/>
    <w:rsid w:val="00830780"/>
    <w:rsid w:val="008308AD"/>
    <w:rsid w:val="00830B4F"/>
    <w:rsid w:val="00830BCC"/>
    <w:rsid w:val="00830E56"/>
    <w:rsid w:val="008311E0"/>
    <w:rsid w:val="008314A2"/>
    <w:rsid w:val="00831551"/>
    <w:rsid w:val="008315D3"/>
    <w:rsid w:val="008316DD"/>
    <w:rsid w:val="008318AE"/>
    <w:rsid w:val="008319DA"/>
    <w:rsid w:val="00831B58"/>
    <w:rsid w:val="00831D1E"/>
    <w:rsid w:val="008320C4"/>
    <w:rsid w:val="00832B4E"/>
    <w:rsid w:val="00832E41"/>
    <w:rsid w:val="008331C3"/>
    <w:rsid w:val="00833290"/>
    <w:rsid w:val="00833329"/>
    <w:rsid w:val="0083373B"/>
    <w:rsid w:val="00833AED"/>
    <w:rsid w:val="00833E52"/>
    <w:rsid w:val="00833E9D"/>
    <w:rsid w:val="00833FB7"/>
    <w:rsid w:val="00834006"/>
    <w:rsid w:val="0083489C"/>
    <w:rsid w:val="00834B9E"/>
    <w:rsid w:val="00834E69"/>
    <w:rsid w:val="00834FA6"/>
    <w:rsid w:val="008353CC"/>
    <w:rsid w:val="0083558C"/>
    <w:rsid w:val="0083562F"/>
    <w:rsid w:val="00835C8F"/>
    <w:rsid w:val="00835DF5"/>
    <w:rsid w:val="00835F77"/>
    <w:rsid w:val="0083668A"/>
    <w:rsid w:val="00836769"/>
    <w:rsid w:val="0083697A"/>
    <w:rsid w:val="00836AE5"/>
    <w:rsid w:val="00836FF4"/>
    <w:rsid w:val="0083722C"/>
    <w:rsid w:val="008373E0"/>
    <w:rsid w:val="00837512"/>
    <w:rsid w:val="00837A90"/>
    <w:rsid w:val="00837ADF"/>
    <w:rsid w:val="00840066"/>
    <w:rsid w:val="0084021F"/>
    <w:rsid w:val="0084030C"/>
    <w:rsid w:val="0084052A"/>
    <w:rsid w:val="00840699"/>
    <w:rsid w:val="00840ADD"/>
    <w:rsid w:val="00840EC6"/>
    <w:rsid w:val="00840FBE"/>
    <w:rsid w:val="00841123"/>
    <w:rsid w:val="00841378"/>
    <w:rsid w:val="00841578"/>
    <w:rsid w:val="00841621"/>
    <w:rsid w:val="00841A19"/>
    <w:rsid w:val="00841F1C"/>
    <w:rsid w:val="00842270"/>
    <w:rsid w:val="008423DE"/>
    <w:rsid w:val="00842C54"/>
    <w:rsid w:val="00842F26"/>
    <w:rsid w:val="00843242"/>
    <w:rsid w:val="00843350"/>
    <w:rsid w:val="00843456"/>
    <w:rsid w:val="008434D5"/>
    <w:rsid w:val="00843A2E"/>
    <w:rsid w:val="00843B1D"/>
    <w:rsid w:val="00844E0E"/>
    <w:rsid w:val="00844E5F"/>
    <w:rsid w:val="00844FA0"/>
    <w:rsid w:val="00845036"/>
    <w:rsid w:val="00845578"/>
    <w:rsid w:val="008460B3"/>
    <w:rsid w:val="0084697F"/>
    <w:rsid w:val="00846A9A"/>
    <w:rsid w:val="00846C7D"/>
    <w:rsid w:val="0084734A"/>
    <w:rsid w:val="008473EE"/>
    <w:rsid w:val="0084783D"/>
    <w:rsid w:val="00847893"/>
    <w:rsid w:val="00847ADD"/>
    <w:rsid w:val="00847CE1"/>
    <w:rsid w:val="008505D8"/>
    <w:rsid w:val="00850DF9"/>
    <w:rsid w:val="008514F6"/>
    <w:rsid w:val="008517E1"/>
    <w:rsid w:val="00851885"/>
    <w:rsid w:val="008518B9"/>
    <w:rsid w:val="008519B5"/>
    <w:rsid w:val="00851A49"/>
    <w:rsid w:val="008520B6"/>
    <w:rsid w:val="0085265B"/>
    <w:rsid w:val="008526B4"/>
    <w:rsid w:val="0085358C"/>
    <w:rsid w:val="00853627"/>
    <w:rsid w:val="00853AC5"/>
    <w:rsid w:val="00853E4A"/>
    <w:rsid w:val="0085426E"/>
    <w:rsid w:val="0085484B"/>
    <w:rsid w:val="00854E02"/>
    <w:rsid w:val="00855706"/>
    <w:rsid w:val="0085597A"/>
    <w:rsid w:val="00855AB7"/>
    <w:rsid w:val="00855D45"/>
    <w:rsid w:val="008561CB"/>
    <w:rsid w:val="00856549"/>
    <w:rsid w:val="0085686D"/>
    <w:rsid w:val="00856B11"/>
    <w:rsid w:val="00857361"/>
    <w:rsid w:val="008576D2"/>
    <w:rsid w:val="0085793A"/>
    <w:rsid w:val="00857EE6"/>
    <w:rsid w:val="00860542"/>
    <w:rsid w:val="0086076B"/>
    <w:rsid w:val="00860C55"/>
    <w:rsid w:val="008617A7"/>
    <w:rsid w:val="008619A9"/>
    <w:rsid w:val="00861A52"/>
    <w:rsid w:val="00861CB7"/>
    <w:rsid w:val="00861F9D"/>
    <w:rsid w:val="008626ED"/>
    <w:rsid w:val="00862B49"/>
    <w:rsid w:val="00862C45"/>
    <w:rsid w:val="00863590"/>
    <w:rsid w:val="00863622"/>
    <w:rsid w:val="00863973"/>
    <w:rsid w:val="00863A69"/>
    <w:rsid w:val="00863D8E"/>
    <w:rsid w:val="008642EA"/>
    <w:rsid w:val="0086482C"/>
    <w:rsid w:val="0086488D"/>
    <w:rsid w:val="0086521A"/>
    <w:rsid w:val="0086572C"/>
    <w:rsid w:val="00865BB5"/>
    <w:rsid w:val="00866B00"/>
    <w:rsid w:val="00866B69"/>
    <w:rsid w:val="00867048"/>
    <w:rsid w:val="0086739C"/>
    <w:rsid w:val="008676A4"/>
    <w:rsid w:val="00867F6E"/>
    <w:rsid w:val="00870A71"/>
    <w:rsid w:val="00870AFD"/>
    <w:rsid w:val="00870BCE"/>
    <w:rsid w:val="00870C65"/>
    <w:rsid w:val="00871CE4"/>
    <w:rsid w:val="00871F8B"/>
    <w:rsid w:val="00872667"/>
    <w:rsid w:val="00872810"/>
    <w:rsid w:val="00872A20"/>
    <w:rsid w:val="00872FED"/>
    <w:rsid w:val="00873139"/>
    <w:rsid w:val="008733EB"/>
    <w:rsid w:val="008735AF"/>
    <w:rsid w:val="00873A2C"/>
    <w:rsid w:val="008742FD"/>
    <w:rsid w:val="0087446A"/>
    <w:rsid w:val="00874611"/>
    <w:rsid w:val="008746E8"/>
    <w:rsid w:val="00874A61"/>
    <w:rsid w:val="00875BF7"/>
    <w:rsid w:val="00876414"/>
    <w:rsid w:val="008769DD"/>
    <w:rsid w:val="00876D30"/>
    <w:rsid w:val="00876DFA"/>
    <w:rsid w:val="00876EC6"/>
    <w:rsid w:val="008772DB"/>
    <w:rsid w:val="00877516"/>
    <w:rsid w:val="00877B26"/>
    <w:rsid w:val="00881556"/>
    <w:rsid w:val="00881677"/>
    <w:rsid w:val="00881B18"/>
    <w:rsid w:val="00881BA0"/>
    <w:rsid w:val="00881EB3"/>
    <w:rsid w:val="0088224E"/>
    <w:rsid w:val="008824E2"/>
    <w:rsid w:val="00882A22"/>
    <w:rsid w:val="00882B64"/>
    <w:rsid w:val="00882BB0"/>
    <w:rsid w:val="00882EA7"/>
    <w:rsid w:val="00882F70"/>
    <w:rsid w:val="008830F2"/>
    <w:rsid w:val="00883221"/>
    <w:rsid w:val="00883426"/>
    <w:rsid w:val="0088394E"/>
    <w:rsid w:val="00883D72"/>
    <w:rsid w:val="00883EB9"/>
    <w:rsid w:val="00883F74"/>
    <w:rsid w:val="00884165"/>
    <w:rsid w:val="0088433E"/>
    <w:rsid w:val="00884642"/>
    <w:rsid w:val="008848E1"/>
    <w:rsid w:val="0088527B"/>
    <w:rsid w:val="008854A4"/>
    <w:rsid w:val="008854DF"/>
    <w:rsid w:val="008859DB"/>
    <w:rsid w:val="00885BBA"/>
    <w:rsid w:val="00885D0C"/>
    <w:rsid w:val="00885D2B"/>
    <w:rsid w:val="008860D6"/>
    <w:rsid w:val="00886FAD"/>
    <w:rsid w:val="0088708E"/>
    <w:rsid w:val="008873D5"/>
    <w:rsid w:val="008879CC"/>
    <w:rsid w:val="008879DC"/>
    <w:rsid w:val="00887BDA"/>
    <w:rsid w:val="0089015F"/>
    <w:rsid w:val="0089037E"/>
    <w:rsid w:val="0089043D"/>
    <w:rsid w:val="00890CF7"/>
    <w:rsid w:val="00890E2E"/>
    <w:rsid w:val="00891277"/>
    <w:rsid w:val="00891B19"/>
    <w:rsid w:val="00891EB6"/>
    <w:rsid w:val="008920AB"/>
    <w:rsid w:val="00892495"/>
    <w:rsid w:val="00892BC4"/>
    <w:rsid w:val="00892C94"/>
    <w:rsid w:val="008931C0"/>
    <w:rsid w:val="00893250"/>
    <w:rsid w:val="00893667"/>
    <w:rsid w:val="008939F7"/>
    <w:rsid w:val="00893CE7"/>
    <w:rsid w:val="00893DDB"/>
    <w:rsid w:val="008943D0"/>
    <w:rsid w:val="00894757"/>
    <w:rsid w:val="0089490E"/>
    <w:rsid w:val="00895626"/>
    <w:rsid w:val="0089576B"/>
    <w:rsid w:val="00895B10"/>
    <w:rsid w:val="00895FD5"/>
    <w:rsid w:val="008960E3"/>
    <w:rsid w:val="008963C4"/>
    <w:rsid w:val="0089662E"/>
    <w:rsid w:val="008968AA"/>
    <w:rsid w:val="008969A8"/>
    <w:rsid w:val="00896F5F"/>
    <w:rsid w:val="008971EE"/>
    <w:rsid w:val="00897956"/>
    <w:rsid w:val="00897BFC"/>
    <w:rsid w:val="008A02C4"/>
    <w:rsid w:val="008A1186"/>
    <w:rsid w:val="008A2100"/>
    <w:rsid w:val="008A2184"/>
    <w:rsid w:val="008A21B4"/>
    <w:rsid w:val="008A21F0"/>
    <w:rsid w:val="008A2479"/>
    <w:rsid w:val="008A260B"/>
    <w:rsid w:val="008A2BAF"/>
    <w:rsid w:val="008A2DFD"/>
    <w:rsid w:val="008A2FA1"/>
    <w:rsid w:val="008A2FBB"/>
    <w:rsid w:val="008A3624"/>
    <w:rsid w:val="008A3EFF"/>
    <w:rsid w:val="008A4370"/>
    <w:rsid w:val="008A4873"/>
    <w:rsid w:val="008A49F5"/>
    <w:rsid w:val="008A4B1D"/>
    <w:rsid w:val="008A4E4D"/>
    <w:rsid w:val="008A51EF"/>
    <w:rsid w:val="008A528B"/>
    <w:rsid w:val="008A5294"/>
    <w:rsid w:val="008A53E4"/>
    <w:rsid w:val="008A5C33"/>
    <w:rsid w:val="008A6122"/>
    <w:rsid w:val="008A6124"/>
    <w:rsid w:val="008A631B"/>
    <w:rsid w:val="008A65B9"/>
    <w:rsid w:val="008A6A63"/>
    <w:rsid w:val="008A6BA4"/>
    <w:rsid w:val="008A70DA"/>
    <w:rsid w:val="008A71D8"/>
    <w:rsid w:val="008A78E7"/>
    <w:rsid w:val="008A7E63"/>
    <w:rsid w:val="008B0315"/>
    <w:rsid w:val="008B0459"/>
    <w:rsid w:val="008B060A"/>
    <w:rsid w:val="008B07E7"/>
    <w:rsid w:val="008B0919"/>
    <w:rsid w:val="008B0FA0"/>
    <w:rsid w:val="008B0FCB"/>
    <w:rsid w:val="008B11D2"/>
    <w:rsid w:val="008B1346"/>
    <w:rsid w:val="008B13DA"/>
    <w:rsid w:val="008B156D"/>
    <w:rsid w:val="008B1665"/>
    <w:rsid w:val="008B1DBC"/>
    <w:rsid w:val="008B2679"/>
    <w:rsid w:val="008B28FE"/>
    <w:rsid w:val="008B2A7B"/>
    <w:rsid w:val="008B3F85"/>
    <w:rsid w:val="008B3F8A"/>
    <w:rsid w:val="008B3FB2"/>
    <w:rsid w:val="008B400E"/>
    <w:rsid w:val="008B5413"/>
    <w:rsid w:val="008B55FE"/>
    <w:rsid w:val="008B576B"/>
    <w:rsid w:val="008B5D85"/>
    <w:rsid w:val="008B5FC7"/>
    <w:rsid w:val="008B6448"/>
    <w:rsid w:val="008B6624"/>
    <w:rsid w:val="008B6E08"/>
    <w:rsid w:val="008B70A6"/>
    <w:rsid w:val="008B71AD"/>
    <w:rsid w:val="008B77D1"/>
    <w:rsid w:val="008B7A11"/>
    <w:rsid w:val="008B7A2C"/>
    <w:rsid w:val="008B7DA5"/>
    <w:rsid w:val="008C04A0"/>
    <w:rsid w:val="008C04C6"/>
    <w:rsid w:val="008C058A"/>
    <w:rsid w:val="008C0961"/>
    <w:rsid w:val="008C1271"/>
    <w:rsid w:val="008C1514"/>
    <w:rsid w:val="008C1526"/>
    <w:rsid w:val="008C1A3A"/>
    <w:rsid w:val="008C1C53"/>
    <w:rsid w:val="008C1EB5"/>
    <w:rsid w:val="008C256B"/>
    <w:rsid w:val="008C26DC"/>
    <w:rsid w:val="008C2E10"/>
    <w:rsid w:val="008C2FB5"/>
    <w:rsid w:val="008C306F"/>
    <w:rsid w:val="008C32B0"/>
    <w:rsid w:val="008C380C"/>
    <w:rsid w:val="008C3F4C"/>
    <w:rsid w:val="008C40A1"/>
    <w:rsid w:val="008C40B4"/>
    <w:rsid w:val="008C4418"/>
    <w:rsid w:val="008C44C4"/>
    <w:rsid w:val="008C47DA"/>
    <w:rsid w:val="008C5029"/>
    <w:rsid w:val="008C5137"/>
    <w:rsid w:val="008C530D"/>
    <w:rsid w:val="008C5D47"/>
    <w:rsid w:val="008C5D9B"/>
    <w:rsid w:val="008C5E4D"/>
    <w:rsid w:val="008C5FF0"/>
    <w:rsid w:val="008C607B"/>
    <w:rsid w:val="008C60B2"/>
    <w:rsid w:val="008C68B5"/>
    <w:rsid w:val="008C6B02"/>
    <w:rsid w:val="008C6E10"/>
    <w:rsid w:val="008C70EA"/>
    <w:rsid w:val="008C738E"/>
    <w:rsid w:val="008C73F3"/>
    <w:rsid w:val="008C7B55"/>
    <w:rsid w:val="008C7D22"/>
    <w:rsid w:val="008D0314"/>
    <w:rsid w:val="008D04D4"/>
    <w:rsid w:val="008D053A"/>
    <w:rsid w:val="008D0E62"/>
    <w:rsid w:val="008D10DD"/>
    <w:rsid w:val="008D15C9"/>
    <w:rsid w:val="008D17B8"/>
    <w:rsid w:val="008D1808"/>
    <w:rsid w:val="008D189A"/>
    <w:rsid w:val="008D21A2"/>
    <w:rsid w:val="008D25BE"/>
    <w:rsid w:val="008D29C9"/>
    <w:rsid w:val="008D2AD7"/>
    <w:rsid w:val="008D2AE7"/>
    <w:rsid w:val="008D2C09"/>
    <w:rsid w:val="008D300C"/>
    <w:rsid w:val="008D3193"/>
    <w:rsid w:val="008D3251"/>
    <w:rsid w:val="008D356B"/>
    <w:rsid w:val="008D3577"/>
    <w:rsid w:val="008D42EE"/>
    <w:rsid w:val="008D4385"/>
    <w:rsid w:val="008D4512"/>
    <w:rsid w:val="008D46C5"/>
    <w:rsid w:val="008D49B9"/>
    <w:rsid w:val="008D4A80"/>
    <w:rsid w:val="008D4CD4"/>
    <w:rsid w:val="008D4D25"/>
    <w:rsid w:val="008D5247"/>
    <w:rsid w:val="008D53A3"/>
    <w:rsid w:val="008D57A8"/>
    <w:rsid w:val="008D59B8"/>
    <w:rsid w:val="008D5D29"/>
    <w:rsid w:val="008D6019"/>
    <w:rsid w:val="008D67B7"/>
    <w:rsid w:val="008D7429"/>
    <w:rsid w:val="008D7EC2"/>
    <w:rsid w:val="008E03D8"/>
    <w:rsid w:val="008E06EF"/>
    <w:rsid w:val="008E07AC"/>
    <w:rsid w:val="008E0968"/>
    <w:rsid w:val="008E106C"/>
    <w:rsid w:val="008E11DD"/>
    <w:rsid w:val="008E2495"/>
    <w:rsid w:val="008E2BB6"/>
    <w:rsid w:val="008E2CB4"/>
    <w:rsid w:val="008E3083"/>
    <w:rsid w:val="008E333D"/>
    <w:rsid w:val="008E3496"/>
    <w:rsid w:val="008E3D90"/>
    <w:rsid w:val="008E4999"/>
    <w:rsid w:val="008E4B88"/>
    <w:rsid w:val="008E50A3"/>
    <w:rsid w:val="008E560A"/>
    <w:rsid w:val="008E5769"/>
    <w:rsid w:val="008E5F30"/>
    <w:rsid w:val="008E63B8"/>
    <w:rsid w:val="008E65E6"/>
    <w:rsid w:val="008E69C4"/>
    <w:rsid w:val="008E6C76"/>
    <w:rsid w:val="008E7728"/>
    <w:rsid w:val="008E7A5B"/>
    <w:rsid w:val="008F0018"/>
    <w:rsid w:val="008F047E"/>
    <w:rsid w:val="008F06A0"/>
    <w:rsid w:val="008F0944"/>
    <w:rsid w:val="008F0F88"/>
    <w:rsid w:val="008F1C28"/>
    <w:rsid w:val="008F2E25"/>
    <w:rsid w:val="008F3003"/>
    <w:rsid w:val="008F3C6C"/>
    <w:rsid w:val="008F42EB"/>
    <w:rsid w:val="008F5823"/>
    <w:rsid w:val="008F5BA1"/>
    <w:rsid w:val="008F5C2A"/>
    <w:rsid w:val="008F6044"/>
    <w:rsid w:val="008F6075"/>
    <w:rsid w:val="008F62E2"/>
    <w:rsid w:val="008F67BA"/>
    <w:rsid w:val="008F68EA"/>
    <w:rsid w:val="008F7058"/>
    <w:rsid w:val="008F70CF"/>
    <w:rsid w:val="008F77C3"/>
    <w:rsid w:val="008F7859"/>
    <w:rsid w:val="008F7A23"/>
    <w:rsid w:val="008F7A35"/>
    <w:rsid w:val="008F7B94"/>
    <w:rsid w:val="008F7EB9"/>
    <w:rsid w:val="00900176"/>
    <w:rsid w:val="009003CA"/>
    <w:rsid w:val="0090078B"/>
    <w:rsid w:val="00900B6E"/>
    <w:rsid w:val="00900E90"/>
    <w:rsid w:val="00900F3F"/>
    <w:rsid w:val="0090103C"/>
    <w:rsid w:val="00901662"/>
    <w:rsid w:val="0090198D"/>
    <w:rsid w:val="00901B1D"/>
    <w:rsid w:val="0090211C"/>
    <w:rsid w:val="00902830"/>
    <w:rsid w:val="00902BEA"/>
    <w:rsid w:val="00902DD9"/>
    <w:rsid w:val="00903043"/>
    <w:rsid w:val="0090334C"/>
    <w:rsid w:val="0090350F"/>
    <w:rsid w:val="00903828"/>
    <w:rsid w:val="00903A5D"/>
    <w:rsid w:val="00903C7A"/>
    <w:rsid w:val="0090405F"/>
    <w:rsid w:val="009043F0"/>
    <w:rsid w:val="0090444B"/>
    <w:rsid w:val="0090466D"/>
    <w:rsid w:val="00904E97"/>
    <w:rsid w:val="009055A4"/>
    <w:rsid w:val="00905ACD"/>
    <w:rsid w:val="00906BC4"/>
    <w:rsid w:val="00906C78"/>
    <w:rsid w:val="00906DA5"/>
    <w:rsid w:val="0090707B"/>
    <w:rsid w:val="0090757A"/>
    <w:rsid w:val="009075B6"/>
    <w:rsid w:val="00907A4E"/>
    <w:rsid w:val="00907F25"/>
    <w:rsid w:val="00907F53"/>
    <w:rsid w:val="00910164"/>
    <w:rsid w:val="0091083B"/>
    <w:rsid w:val="0091085B"/>
    <w:rsid w:val="009108D5"/>
    <w:rsid w:val="00910951"/>
    <w:rsid w:val="00910E97"/>
    <w:rsid w:val="009113C6"/>
    <w:rsid w:val="009118AC"/>
    <w:rsid w:val="00911D9A"/>
    <w:rsid w:val="009123FD"/>
    <w:rsid w:val="00912867"/>
    <w:rsid w:val="00913267"/>
    <w:rsid w:val="0091332B"/>
    <w:rsid w:val="00913861"/>
    <w:rsid w:val="00913C65"/>
    <w:rsid w:val="009146E1"/>
    <w:rsid w:val="00914841"/>
    <w:rsid w:val="00914845"/>
    <w:rsid w:val="00914A3C"/>
    <w:rsid w:val="00914F48"/>
    <w:rsid w:val="009151DD"/>
    <w:rsid w:val="0091567C"/>
    <w:rsid w:val="00915A44"/>
    <w:rsid w:val="00915A46"/>
    <w:rsid w:val="00915D7A"/>
    <w:rsid w:val="00915DA4"/>
    <w:rsid w:val="00915EED"/>
    <w:rsid w:val="0091652F"/>
    <w:rsid w:val="00917297"/>
    <w:rsid w:val="00917436"/>
    <w:rsid w:val="009179DB"/>
    <w:rsid w:val="00917D68"/>
    <w:rsid w:val="00917E57"/>
    <w:rsid w:val="00920670"/>
    <w:rsid w:val="0092078E"/>
    <w:rsid w:val="00920A45"/>
    <w:rsid w:val="00920DF8"/>
    <w:rsid w:val="0092146E"/>
    <w:rsid w:val="0092167B"/>
    <w:rsid w:val="0092180B"/>
    <w:rsid w:val="00921DCE"/>
    <w:rsid w:val="009220B8"/>
    <w:rsid w:val="009227DD"/>
    <w:rsid w:val="00922B17"/>
    <w:rsid w:val="00922E9E"/>
    <w:rsid w:val="009231D8"/>
    <w:rsid w:val="00923213"/>
    <w:rsid w:val="00923665"/>
    <w:rsid w:val="0092433B"/>
    <w:rsid w:val="00924732"/>
    <w:rsid w:val="0092476F"/>
    <w:rsid w:val="009249E9"/>
    <w:rsid w:val="00924BFF"/>
    <w:rsid w:val="00925088"/>
    <w:rsid w:val="009250A8"/>
    <w:rsid w:val="0092517D"/>
    <w:rsid w:val="009254AE"/>
    <w:rsid w:val="009258E3"/>
    <w:rsid w:val="00925A7B"/>
    <w:rsid w:val="00925C83"/>
    <w:rsid w:val="00926113"/>
    <w:rsid w:val="00926AE1"/>
    <w:rsid w:val="00926C2F"/>
    <w:rsid w:val="00926CFE"/>
    <w:rsid w:val="00927600"/>
    <w:rsid w:val="00927663"/>
    <w:rsid w:val="00927A19"/>
    <w:rsid w:val="00927E9A"/>
    <w:rsid w:val="00927FBA"/>
    <w:rsid w:val="0093001D"/>
    <w:rsid w:val="009305FE"/>
    <w:rsid w:val="009307C8"/>
    <w:rsid w:val="0093085A"/>
    <w:rsid w:val="00931029"/>
    <w:rsid w:val="00931160"/>
    <w:rsid w:val="009312FF"/>
    <w:rsid w:val="009319B5"/>
    <w:rsid w:val="00931C0B"/>
    <w:rsid w:val="00932574"/>
    <w:rsid w:val="00932643"/>
    <w:rsid w:val="00932672"/>
    <w:rsid w:val="00932682"/>
    <w:rsid w:val="0093293B"/>
    <w:rsid w:val="00932E23"/>
    <w:rsid w:val="00932E6F"/>
    <w:rsid w:val="00932FA7"/>
    <w:rsid w:val="00932FCB"/>
    <w:rsid w:val="009331D9"/>
    <w:rsid w:val="00933CC8"/>
    <w:rsid w:val="00933D47"/>
    <w:rsid w:val="00933D6B"/>
    <w:rsid w:val="009346B3"/>
    <w:rsid w:val="00935402"/>
    <w:rsid w:val="00935B75"/>
    <w:rsid w:val="00935CCA"/>
    <w:rsid w:val="0093603E"/>
    <w:rsid w:val="00936210"/>
    <w:rsid w:val="00936EDC"/>
    <w:rsid w:val="00937073"/>
    <w:rsid w:val="0093732A"/>
    <w:rsid w:val="009374AB"/>
    <w:rsid w:val="009405A1"/>
    <w:rsid w:val="00940727"/>
    <w:rsid w:val="00940887"/>
    <w:rsid w:val="00940F6B"/>
    <w:rsid w:val="00940F8B"/>
    <w:rsid w:val="00941230"/>
    <w:rsid w:val="009419B0"/>
    <w:rsid w:val="00941B27"/>
    <w:rsid w:val="00941B97"/>
    <w:rsid w:val="00941C48"/>
    <w:rsid w:val="00941F08"/>
    <w:rsid w:val="00942306"/>
    <w:rsid w:val="00942C76"/>
    <w:rsid w:val="00943083"/>
    <w:rsid w:val="00943129"/>
    <w:rsid w:val="009432A2"/>
    <w:rsid w:val="00943B60"/>
    <w:rsid w:val="00943CEC"/>
    <w:rsid w:val="00943F6C"/>
    <w:rsid w:val="00943F7A"/>
    <w:rsid w:val="009448A4"/>
    <w:rsid w:val="00944D83"/>
    <w:rsid w:val="00945044"/>
    <w:rsid w:val="00945165"/>
    <w:rsid w:val="00945894"/>
    <w:rsid w:val="00945BE9"/>
    <w:rsid w:val="00945DD7"/>
    <w:rsid w:val="00946246"/>
    <w:rsid w:val="009462D2"/>
    <w:rsid w:val="00946398"/>
    <w:rsid w:val="0094652F"/>
    <w:rsid w:val="009469F7"/>
    <w:rsid w:val="00946B9C"/>
    <w:rsid w:val="00946E0D"/>
    <w:rsid w:val="00946F3C"/>
    <w:rsid w:val="00947786"/>
    <w:rsid w:val="009478E7"/>
    <w:rsid w:val="00950140"/>
    <w:rsid w:val="00950231"/>
    <w:rsid w:val="009502EB"/>
    <w:rsid w:val="0095096C"/>
    <w:rsid w:val="00950BCB"/>
    <w:rsid w:val="00950E03"/>
    <w:rsid w:val="00950E76"/>
    <w:rsid w:val="00951195"/>
    <w:rsid w:val="00951941"/>
    <w:rsid w:val="00951A39"/>
    <w:rsid w:val="009522E2"/>
    <w:rsid w:val="009522E7"/>
    <w:rsid w:val="00952815"/>
    <w:rsid w:val="0095282D"/>
    <w:rsid w:val="00952DF1"/>
    <w:rsid w:val="00953279"/>
    <w:rsid w:val="00953406"/>
    <w:rsid w:val="009536B1"/>
    <w:rsid w:val="009538D3"/>
    <w:rsid w:val="009539DC"/>
    <w:rsid w:val="00953CD8"/>
    <w:rsid w:val="00953EE1"/>
    <w:rsid w:val="0095414C"/>
    <w:rsid w:val="0095469C"/>
    <w:rsid w:val="0095473B"/>
    <w:rsid w:val="00954FA6"/>
    <w:rsid w:val="0095651E"/>
    <w:rsid w:val="00956A65"/>
    <w:rsid w:val="00956FA0"/>
    <w:rsid w:val="00957736"/>
    <w:rsid w:val="0095786A"/>
    <w:rsid w:val="0095786E"/>
    <w:rsid w:val="00957E6C"/>
    <w:rsid w:val="00957F5D"/>
    <w:rsid w:val="009604F4"/>
    <w:rsid w:val="00960726"/>
    <w:rsid w:val="00960845"/>
    <w:rsid w:val="009609E3"/>
    <w:rsid w:val="00960A3B"/>
    <w:rsid w:val="00960CA5"/>
    <w:rsid w:val="00960F35"/>
    <w:rsid w:val="00961030"/>
    <w:rsid w:val="009611B3"/>
    <w:rsid w:val="009617E3"/>
    <w:rsid w:val="00961813"/>
    <w:rsid w:val="0096220C"/>
    <w:rsid w:val="009624CE"/>
    <w:rsid w:val="0096255B"/>
    <w:rsid w:val="009625F8"/>
    <w:rsid w:val="00962C3F"/>
    <w:rsid w:val="009632A6"/>
    <w:rsid w:val="00963303"/>
    <w:rsid w:val="0096336B"/>
    <w:rsid w:val="00963DDB"/>
    <w:rsid w:val="00964CA3"/>
    <w:rsid w:val="00964FD8"/>
    <w:rsid w:val="009650EC"/>
    <w:rsid w:val="00965249"/>
    <w:rsid w:val="00965DC0"/>
    <w:rsid w:val="00966113"/>
    <w:rsid w:val="0096631D"/>
    <w:rsid w:val="00966B34"/>
    <w:rsid w:val="00966DA5"/>
    <w:rsid w:val="00967A26"/>
    <w:rsid w:val="00967C38"/>
    <w:rsid w:val="00967EA1"/>
    <w:rsid w:val="00970246"/>
    <w:rsid w:val="00970343"/>
    <w:rsid w:val="009704F3"/>
    <w:rsid w:val="00970816"/>
    <w:rsid w:val="009708EA"/>
    <w:rsid w:val="00970A58"/>
    <w:rsid w:val="00970D00"/>
    <w:rsid w:val="009726EB"/>
    <w:rsid w:val="009729AE"/>
    <w:rsid w:val="00973393"/>
    <w:rsid w:val="00973A27"/>
    <w:rsid w:val="00973C05"/>
    <w:rsid w:val="00973C15"/>
    <w:rsid w:val="00974017"/>
    <w:rsid w:val="0097426D"/>
    <w:rsid w:val="009746B4"/>
    <w:rsid w:val="00974B39"/>
    <w:rsid w:val="00974B94"/>
    <w:rsid w:val="00974C41"/>
    <w:rsid w:val="00974F96"/>
    <w:rsid w:val="009766F7"/>
    <w:rsid w:val="0097695B"/>
    <w:rsid w:val="00976B79"/>
    <w:rsid w:val="00976B90"/>
    <w:rsid w:val="00976D49"/>
    <w:rsid w:val="0097716F"/>
    <w:rsid w:val="00977444"/>
    <w:rsid w:val="009777F6"/>
    <w:rsid w:val="00977A38"/>
    <w:rsid w:val="009801E8"/>
    <w:rsid w:val="00980521"/>
    <w:rsid w:val="00980529"/>
    <w:rsid w:val="00980755"/>
    <w:rsid w:val="00980973"/>
    <w:rsid w:val="00982042"/>
    <w:rsid w:val="0098243D"/>
    <w:rsid w:val="009824E3"/>
    <w:rsid w:val="009825FC"/>
    <w:rsid w:val="00982679"/>
    <w:rsid w:val="00982A38"/>
    <w:rsid w:val="00982D79"/>
    <w:rsid w:val="00982DB4"/>
    <w:rsid w:val="009831E6"/>
    <w:rsid w:val="009834DB"/>
    <w:rsid w:val="00983753"/>
    <w:rsid w:val="00983938"/>
    <w:rsid w:val="00983AA9"/>
    <w:rsid w:val="00983D04"/>
    <w:rsid w:val="00984384"/>
    <w:rsid w:val="00984D32"/>
    <w:rsid w:val="00985268"/>
    <w:rsid w:val="0098540B"/>
    <w:rsid w:val="009854FB"/>
    <w:rsid w:val="009857A8"/>
    <w:rsid w:val="00986113"/>
    <w:rsid w:val="0098617F"/>
    <w:rsid w:val="009863E0"/>
    <w:rsid w:val="0098659E"/>
    <w:rsid w:val="00986AFE"/>
    <w:rsid w:val="00986B19"/>
    <w:rsid w:val="00986DE3"/>
    <w:rsid w:val="009871C4"/>
    <w:rsid w:val="00987443"/>
    <w:rsid w:val="009875EC"/>
    <w:rsid w:val="00987A7C"/>
    <w:rsid w:val="00987B47"/>
    <w:rsid w:val="00987C71"/>
    <w:rsid w:val="00987E0A"/>
    <w:rsid w:val="009901DB"/>
    <w:rsid w:val="00990286"/>
    <w:rsid w:val="009903D0"/>
    <w:rsid w:val="00990863"/>
    <w:rsid w:val="00990C97"/>
    <w:rsid w:val="0099103A"/>
    <w:rsid w:val="0099120E"/>
    <w:rsid w:val="009919A0"/>
    <w:rsid w:val="00991FB9"/>
    <w:rsid w:val="0099269D"/>
    <w:rsid w:val="009926B3"/>
    <w:rsid w:val="00993092"/>
    <w:rsid w:val="009932B2"/>
    <w:rsid w:val="009935D4"/>
    <w:rsid w:val="00993CD6"/>
    <w:rsid w:val="0099459D"/>
    <w:rsid w:val="00994798"/>
    <w:rsid w:val="00994B78"/>
    <w:rsid w:val="00995460"/>
    <w:rsid w:val="009954E1"/>
    <w:rsid w:val="00995786"/>
    <w:rsid w:val="00995C31"/>
    <w:rsid w:val="00995F8C"/>
    <w:rsid w:val="00996643"/>
    <w:rsid w:val="00996FDB"/>
    <w:rsid w:val="0099771C"/>
    <w:rsid w:val="00997779"/>
    <w:rsid w:val="00997C65"/>
    <w:rsid w:val="00997D83"/>
    <w:rsid w:val="00997DB9"/>
    <w:rsid w:val="009A0479"/>
    <w:rsid w:val="009A05AA"/>
    <w:rsid w:val="009A0812"/>
    <w:rsid w:val="009A09F6"/>
    <w:rsid w:val="009A0B30"/>
    <w:rsid w:val="009A167F"/>
    <w:rsid w:val="009A1804"/>
    <w:rsid w:val="009A1C79"/>
    <w:rsid w:val="009A1EE2"/>
    <w:rsid w:val="009A1EEC"/>
    <w:rsid w:val="009A1F55"/>
    <w:rsid w:val="009A20C7"/>
    <w:rsid w:val="009A232A"/>
    <w:rsid w:val="009A2DD2"/>
    <w:rsid w:val="009A2F3E"/>
    <w:rsid w:val="009A3358"/>
    <w:rsid w:val="009A3405"/>
    <w:rsid w:val="009A3DF5"/>
    <w:rsid w:val="009A4183"/>
    <w:rsid w:val="009A44E1"/>
    <w:rsid w:val="009A486E"/>
    <w:rsid w:val="009A5C19"/>
    <w:rsid w:val="009A5C8D"/>
    <w:rsid w:val="009A5C93"/>
    <w:rsid w:val="009A5E30"/>
    <w:rsid w:val="009A60B9"/>
    <w:rsid w:val="009A6105"/>
    <w:rsid w:val="009A6322"/>
    <w:rsid w:val="009A6385"/>
    <w:rsid w:val="009A66B8"/>
    <w:rsid w:val="009A71A4"/>
    <w:rsid w:val="009A73FB"/>
    <w:rsid w:val="009A7406"/>
    <w:rsid w:val="009B04EF"/>
    <w:rsid w:val="009B06E1"/>
    <w:rsid w:val="009B09AD"/>
    <w:rsid w:val="009B0ABC"/>
    <w:rsid w:val="009B0B49"/>
    <w:rsid w:val="009B0E48"/>
    <w:rsid w:val="009B0F1F"/>
    <w:rsid w:val="009B1EA3"/>
    <w:rsid w:val="009B22D7"/>
    <w:rsid w:val="009B29E5"/>
    <w:rsid w:val="009B31EF"/>
    <w:rsid w:val="009B380F"/>
    <w:rsid w:val="009B3BA0"/>
    <w:rsid w:val="009B3E55"/>
    <w:rsid w:val="009B3E64"/>
    <w:rsid w:val="009B3F40"/>
    <w:rsid w:val="009B414B"/>
    <w:rsid w:val="009B43D9"/>
    <w:rsid w:val="009B4627"/>
    <w:rsid w:val="009B4AA8"/>
    <w:rsid w:val="009B4BBA"/>
    <w:rsid w:val="009B4EE6"/>
    <w:rsid w:val="009B5104"/>
    <w:rsid w:val="009B56A5"/>
    <w:rsid w:val="009B5790"/>
    <w:rsid w:val="009B5A09"/>
    <w:rsid w:val="009B5A78"/>
    <w:rsid w:val="009B5C5E"/>
    <w:rsid w:val="009B5D64"/>
    <w:rsid w:val="009B62CE"/>
    <w:rsid w:val="009B6635"/>
    <w:rsid w:val="009B6A23"/>
    <w:rsid w:val="009B6ABD"/>
    <w:rsid w:val="009B7185"/>
    <w:rsid w:val="009B768C"/>
    <w:rsid w:val="009B7E2B"/>
    <w:rsid w:val="009B7ECA"/>
    <w:rsid w:val="009C0005"/>
    <w:rsid w:val="009C00F3"/>
    <w:rsid w:val="009C026F"/>
    <w:rsid w:val="009C04A3"/>
    <w:rsid w:val="009C05FE"/>
    <w:rsid w:val="009C1035"/>
    <w:rsid w:val="009C114C"/>
    <w:rsid w:val="009C14A6"/>
    <w:rsid w:val="009C1701"/>
    <w:rsid w:val="009C173B"/>
    <w:rsid w:val="009C1823"/>
    <w:rsid w:val="009C18F4"/>
    <w:rsid w:val="009C22C1"/>
    <w:rsid w:val="009C247E"/>
    <w:rsid w:val="009C294D"/>
    <w:rsid w:val="009C2D25"/>
    <w:rsid w:val="009C37A0"/>
    <w:rsid w:val="009C3B43"/>
    <w:rsid w:val="009C3C9A"/>
    <w:rsid w:val="009C40F7"/>
    <w:rsid w:val="009C4924"/>
    <w:rsid w:val="009C5EC3"/>
    <w:rsid w:val="009C6025"/>
    <w:rsid w:val="009C69AD"/>
    <w:rsid w:val="009C6D9D"/>
    <w:rsid w:val="009C6E7E"/>
    <w:rsid w:val="009C70AD"/>
    <w:rsid w:val="009C7D4E"/>
    <w:rsid w:val="009C7DB0"/>
    <w:rsid w:val="009D05E0"/>
    <w:rsid w:val="009D08CB"/>
    <w:rsid w:val="009D08DC"/>
    <w:rsid w:val="009D1617"/>
    <w:rsid w:val="009D1929"/>
    <w:rsid w:val="009D1AC5"/>
    <w:rsid w:val="009D1B4E"/>
    <w:rsid w:val="009D1C50"/>
    <w:rsid w:val="009D1D2C"/>
    <w:rsid w:val="009D1EF6"/>
    <w:rsid w:val="009D24FA"/>
    <w:rsid w:val="009D28B1"/>
    <w:rsid w:val="009D2AD8"/>
    <w:rsid w:val="009D2CCD"/>
    <w:rsid w:val="009D2EC6"/>
    <w:rsid w:val="009D3311"/>
    <w:rsid w:val="009D3419"/>
    <w:rsid w:val="009D3800"/>
    <w:rsid w:val="009D3C1F"/>
    <w:rsid w:val="009D3DE2"/>
    <w:rsid w:val="009D46A5"/>
    <w:rsid w:val="009D48B8"/>
    <w:rsid w:val="009D4A22"/>
    <w:rsid w:val="009D4DE1"/>
    <w:rsid w:val="009D4FC1"/>
    <w:rsid w:val="009D53FF"/>
    <w:rsid w:val="009D5E38"/>
    <w:rsid w:val="009D5F57"/>
    <w:rsid w:val="009D6030"/>
    <w:rsid w:val="009D6310"/>
    <w:rsid w:val="009D63D8"/>
    <w:rsid w:val="009D6629"/>
    <w:rsid w:val="009D7FAC"/>
    <w:rsid w:val="009E0541"/>
    <w:rsid w:val="009E0607"/>
    <w:rsid w:val="009E07DA"/>
    <w:rsid w:val="009E083D"/>
    <w:rsid w:val="009E0EEA"/>
    <w:rsid w:val="009E1178"/>
    <w:rsid w:val="009E1193"/>
    <w:rsid w:val="009E15C9"/>
    <w:rsid w:val="009E2438"/>
    <w:rsid w:val="009E266D"/>
    <w:rsid w:val="009E27C7"/>
    <w:rsid w:val="009E2A5E"/>
    <w:rsid w:val="009E345F"/>
    <w:rsid w:val="009E393A"/>
    <w:rsid w:val="009E3B52"/>
    <w:rsid w:val="009E3C1F"/>
    <w:rsid w:val="009E40B3"/>
    <w:rsid w:val="009E4253"/>
    <w:rsid w:val="009E469C"/>
    <w:rsid w:val="009E4A9B"/>
    <w:rsid w:val="009E4DD4"/>
    <w:rsid w:val="009E520B"/>
    <w:rsid w:val="009E5694"/>
    <w:rsid w:val="009E59B9"/>
    <w:rsid w:val="009E5A8D"/>
    <w:rsid w:val="009E5B16"/>
    <w:rsid w:val="009E5FEA"/>
    <w:rsid w:val="009E6860"/>
    <w:rsid w:val="009E68AB"/>
    <w:rsid w:val="009E69C3"/>
    <w:rsid w:val="009E6A58"/>
    <w:rsid w:val="009E6E1A"/>
    <w:rsid w:val="009E71E7"/>
    <w:rsid w:val="009E731C"/>
    <w:rsid w:val="009E73E9"/>
    <w:rsid w:val="009E76EA"/>
    <w:rsid w:val="009E76EB"/>
    <w:rsid w:val="009E7CDB"/>
    <w:rsid w:val="009F0044"/>
    <w:rsid w:val="009F0074"/>
    <w:rsid w:val="009F00C4"/>
    <w:rsid w:val="009F0933"/>
    <w:rsid w:val="009F1344"/>
    <w:rsid w:val="009F1491"/>
    <w:rsid w:val="009F1A6A"/>
    <w:rsid w:val="009F2381"/>
    <w:rsid w:val="009F2F13"/>
    <w:rsid w:val="009F2FE7"/>
    <w:rsid w:val="009F3175"/>
    <w:rsid w:val="009F34C1"/>
    <w:rsid w:val="009F3691"/>
    <w:rsid w:val="009F386E"/>
    <w:rsid w:val="009F3A73"/>
    <w:rsid w:val="009F3AE7"/>
    <w:rsid w:val="009F3C8D"/>
    <w:rsid w:val="009F3EBF"/>
    <w:rsid w:val="009F3F69"/>
    <w:rsid w:val="009F47AB"/>
    <w:rsid w:val="009F5394"/>
    <w:rsid w:val="009F5D1A"/>
    <w:rsid w:val="009F5EDB"/>
    <w:rsid w:val="009F5FCD"/>
    <w:rsid w:val="009F6030"/>
    <w:rsid w:val="009F63E7"/>
    <w:rsid w:val="009F69F3"/>
    <w:rsid w:val="009F6FBA"/>
    <w:rsid w:val="009F7131"/>
    <w:rsid w:val="009F7265"/>
    <w:rsid w:val="009F72B0"/>
    <w:rsid w:val="009F7399"/>
    <w:rsid w:val="009F781C"/>
    <w:rsid w:val="009F787C"/>
    <w:rsid w:val="009F7AC2"/>
    <w:rsid w:val="009F7E22"/>
    <w:rsid w:val="00A008CA"/>
    <w:rsid w:val="00A00A1E"/>
    <w:rsid w:val="00A00BA4"/>
    <w:rsid w:val="00A0100D"/>
    <w:rsid w:val="00A021C9"/>
    <w:rsid w:val="00A02221"/>
    <w:rsid w:val="00A023D0"/>
    <w:rsid w:val="00A024DF"/>
    <w:rsid w:val="00A0258C"/>
    <w:rsid w:val="00A02E81"/>
    <w:rsid w:val="00A0349F"/>
    <w:rsid w:val="00A037E9"/>
    <w:rsid w:val="00A03A24"/>
    <w:rsid w:val="00A03DA2"/>
    <w:rsid w:val="00A04888"/>
    <w:rsid w:val="00A04960"/>
    <w:rsid w:val="00A04B20"/>
    <w:rsid w:val="00A04D98"/>
    <w:rsid w:val="00A04EBE"/>
    <w:rsid w:val="00A04EFB"/>
    <w:rsid w:val="00A04F19"/>
    <w:rsid w:val="00A05512"/>
    <w:rsid w:val="00A056A0"/>
    <w:rsid w:val="00A05996"/>
    <w:rsid w:val="00A05EE9"/>
    <w:rsid w:val="00A069D5"/>
    <w:rsid w:val="00A06DE0"/>
    <w:rsid w:val="00A06F39"/>
    <w:rsid w:val="00A07107"/>
    <w:rsid w:val="00A072F3"/>
    <w:rsid w:val="00A07344"/>
    <w:rsid w:val="00A07357"/>
    <w:rsid w:val="00A0769C"/>
    <w:rsid w:val="00A1034E"/>
    <w:rsid w:val="00A1087E"/>
    <w:rsid w:val="00A1099D"/>
    <w:rsid w:val="00A10AC6"/>
    <w:rsid w:val="00A10BC9"/>
    <w:rsid w:val="00A11880"/>
    <w:rsid w:val="00A11964"/>
    <w:rsid w:val="00A11AC7"/>
    <w:rsid w:val="00A11F9D"/>
    <w:rsid w:val="00A12110"/>
    <w:rsid w:val="00A121B8"/>
    <w:rsid w:val="00A1235C"/>
    <w:rsid w:val="00A1256C"/>
    <w:rsid w:val="00A126BF"/>
    <w:rsid w:val="00A129F1"/>
    <w:rsid w:val="00A12A1E"/>
    <w:rsid w:val="00A12DCF"/>
    <w:rsid w:val="00A12E4F"/>
    <w:rsid w:val="00A13154"/>
    <w:rsid w:val="00A133F9"/>
    <w:rsid w:val="00A1345D"/>
    <w:rsid w:val="00A13659"/>
    <w:rsid w:val="00A14158"/>
    <w:rsid w:val="00A14215"/>
    <w:rsid w:val="00A148C4"/>
    <w:rsid w:val="00A149EE"/>
    <w:rsid w:val="00A14AD5"/>
    <w:rsid w:val="00A14C72"/>
    <w:rsid w:val="00A14D47"/>
    <w:rsid w:val="00A15DBA"/>
    <w:rsid w:val="00A163AB"/>
    <w:rsid w:val="00A164B0"/>
    <w:rsid w:val="00A16A13"/>
    <w:rsid w:val="00A16D56"/>
    <w:rsid w:val="00A16DCD"/>
    <w:rsid w:val="00A17452"/>
    <w:rsid w:val="00A176C8"/>
    <w:rsid w:val="00A177A4"/>
    <w:rsid w:val="00A200CF"/>
    <w:rsid w:val="00A20203"/>
    <w:rsid w:val="00A20485"/>
    <w:rsid w:val="00A20550"/>
    <w:rsid w:val="00A20C9E"/>
    <w:rsid w:val="00A20E13"/>
    <w:rsid w:val="00A20F55"/>
    <w:rsid w:val="00A211C5"/>
    <w:rsid w:val="00A21422"/>
    <w:rsid w:val="00A2297D"/>
    <w:rsid w:val="00A22A7B"/>
    <w:rsid w:val="00A23445"/>
    <w:rsid w:val="00A23642"/>
    <w:rsid w:val="00A23DCE"/>
    <w:rsid w:val="00A246EA"/>
    <w:rsid w:val="00A24A4F"/>
    <w:rsid w:val="00A24CDB"/>
    <w:rsid w:val="00A2526E"/>
    <w:rsid w:val="00A25B5C"/>
    <w:rsid w:val="00A26064"/>
    <w:rsid w:val="00A263EF"/>
    <w:rsid w:val="00A26526"/>
    <w:rsid w:val="00A26A84"/>
    <w:rsid w:val="00A2719F"/>
    <w:rsid w:val="00A27450"/>
    <w:rsid w:val="00A274E1"/>
    <w:rsid w:val="00A27676"/>
    <w:rsid w:val="00A2774D"/>
    <w:rsid w:val="00A30474"/>
    <w:rsid w:val="00A30ADD"/>
    <w:rsid w:val="00A30B03"/>
    <w:rsid w:val="00A30BE7"/>
    <w:rsid w:val="00A310D5"/>
    <w:rsid w:val="00A311E0"/>
    <w:rsid w:val="00A3181B"/>
    <w:rsid w:val="00A3194D"/>
    <w:rsid w:val="00A32379"/>
    <w:rsid w:val="00A3238D"/>
    <w:rsid w:val="00A32B55"/>
    <w:rsid w:val="00A32D6D"/>
    <w:rsid w:val="00A33005"/>
    <w:rsid w:val="00A33AAE"/>
    <w:rsid w:val="00A33C42"/>
    <w:rsid w:val="00A33E71"/>
    <w:rsid w:val="00A34539"/>
    <w:rsid w:val="00A348BC"/>
    <w:rsid w:val="00A34A45"/>
    <w:rsid w:val="00A351E4"/>
    <w:rsid w:val="00A3521A"/>
    <w:rsid w:val="00A35241"/>
    <w:rsid w:val="00A3596E"/>
    <w:rsid w:val="00A35AB6"/>
    <w:rsid w:val="00A35E26"/>
    <w:rsid w:val="00A35FDB"/>
    <w:rsid w:val="00A366D4"/>
    <w:rsid w:val="00A37093"/>
    <w:rsid w:val="00A37183"/>
    <w:rsid w:val="00A37BFA"/>
    <w:rsid w:val="00A37C49"/>
    <w:rsid w:val="00A37F18"/>
    <w:rsid w:val="00A4036D"/>
    <w:rsid w:val="00A40942"/>
    <w:rsid w:val="00A40BB9"/>
    <w:rsid w:val="00A41426"/>
    <w:rsid w:val="00A420D4"/>
    <w:rsid w:val="00A42474"/>
    <w:rsid w:val="00A42648"/>
    <w:rsid w:val="00A42875"/>
    <w:rsid w:val="00A42CEC"/>
    <w:rsid w:val="00A431C5"/>
    <w:rsid w:val="00A43517"/>
    <w:rsid w:val="00A43DCD"/>
    <w:rsid w:val="00A4482F"/>
    <w:rsid w:val="00A44DF5"/>
    <w:rsid w:val="00A44E83"/>
    <w:rsid w:val="00A4529F"/>
    <w:rsid w:val="00A4557F"/>
    <w:rsid w:val="00A45701"/>
    <w:rsid w:val="00A45764"/>
    <w:rsid w:val="00A457FF"/>
    <w:rsid w:val="00A46071"/>
    <w:rsid w:val="00A4654E"/>
    <w:rsid w:val="00A468A5"/>
    <w:rsid w:val="00A46A30"/>
    <w:rsid w:val="00A46D7A"/>
    <w:rsid w:val="00A46DDE"/>
    <w:rsid w:val="00A47362"/>
    <w:rsid w:val="00A47508"/>
    <w:rsid w:val="00A47E68"/>
    <w:rsid w:val="00A50858"/>
    <w:rsid w:val="00A50EA8"/>
    <w:rsid w:val="00A51061"/>
    <w:rsid w:val="00A513C9"/>
    <w:rsid w:val="00A514B1"/>
    <w:rsid w:val="00A5156C"/>
    <w:rsid w:val="00A51AC7"/>
    <w:rsid w:val="00A51CF2"/>
    <w:rsid w:val="00A520D3"/>
    <w:rsid w:val="00A523E5"/>
    <w:rsid w:val="00A52A16"/>
    <w:rsid w:val="00A52AE9"/>
    <w:rsid w:val="00A52E55"/>
    <w:rsid w:val="00A5326E"/>
    <w:rsid w:val="00A533F9"/>
    <w:rsid w:val="00A53FA3"/>
    <w:rsid w:val="00A542D1"/>
    <w:rsid w:val="00A54544"/>
    <w:rsid w:val="00A54CE9"/>
    <w:rsid w:val="00A551B3"/>
    <w:rsid w:val="00A55839"/>
    <w:rsid w:val="00A562D7"/>
    <w:rsid w:val="00A56392"/>
    <w:rsid w:val="00A56579"/>
    <w:rsid w:val="00A56749"/>
    <w:rsid w:val="00A56B6F"/>
    <w:rsid w:val="00A56B9B"/>
    <w:rsid w:val="00A5743A"/>
    <w:rsid w:val="00A57955"/>
    <w:rsid w:val="00A600FB"/>
    <w:rsid w:val="00A60419"/>
    <w:rsid w:val="00A606D2"/>
    <w:rsid w:val="00A61001"/>
    <w:rsid w:val="00A6144A"/>
    <w:rsid w:val="00A618DE"/>
    <w:rsid w:val="00A61B54"/>
    <w:rsid w:val="00A61C49"/>
    <w:rsid w:val="00A61FBF"/>
    <w:rsid w:val="00A622F5"/>
    <w:rsid w:val="00A6283D"/>
    <w:rsid w:val="00A63F41"/>
    <w:rsid w:val="00A6433F"/>
    <w:rsid w:val="00A643CF"/>
    <w:rsid w:val="00A646F2"/>
    <w:rsid w:val="00A64917"/>
    <w:rsid w:val="00A64A5B"/>
    <w:rsid w:val="00A64A85"/>
    <w:rsid w:val="00A65300"/>
    <w:rsid w:val="00A654AA"/>
    <w:rsid w:val="00A657AB"/>
    <w:rsid w:val="00A657C4"/>
    <w:rsid w:val="00A65929"/>
    <w:rsid w:val="00A65E44"/>
    <w:rsid w:val="00A664A9"/>
    <w:rsid w:val="00A6661F"/>
    <w:rsid w:val="00A6679B"/>
    <w:rsid w:val="00A667D5"/>
    <w:rsid w:val="00A66E21"/>
    <w:rsid w:val="00A6701C"/>
    <w:rsid w:val="00A67575"/>
    <w:rsid w:val="00A67C47"/>
    <w:rsid w:val="00A7045E"/>
    <w:rsid w:val="00A7166F"/>
    <w:rsid w:val="00A718F0"/>
    <w:rsid w:val="00A72842"/>
    <w:rsid w:val="00A72898"/>
    <w:rsid w:val="00A72CEB"/>
    <w:rsid w:val="00A72CFA"/>
    <w:rsid w:val="00A73677"/>
    <w:rsid w:val="00A742E8"/>
    <w:rsid w:val="00A744D6"/>
    <w:rsid w:val="00A7459F"/>
    <w:rsid w:val="00A74A3F"/>
    <w:rsid w:val="00A74FF0"/>
    <w:rsid w:val="00A750DC"/>
    <w:rsid w:val="00A751E7"/>
    <w:rsid w:val="00A75327"/>
    <w:rsid w:val="00A75383"/>
    <w:rsid w:val="00A753D0"/>
    <w:rsid w:val="00A75F36"/>
    <w:rsid w:val="00A76D1F"/>
    <w:rsid w:val="00A771C5"/>
    <w:rsid w:val="00A7722E"/>
    <w:rsid w:val="00A772E3"/>
    <w:rsid w:val="00A77350"/>
    <w:rsid w:val="00A7739B"/>
    <w:rsid w:val="00A773DB"/>
    <w:rsid w:val="00A77445"/>
    <w:rsid w:val="00A775A6"/>
    <w:rsid w:val="00A77655"/>
    <w:rsid w:val="00A77A5B"/>
    <w:rsid w:val="00A77C72"/>
    <w:rsid w:val="00A77CE0"/>
    <w:rsid w:val="00A77CF7"/>
    <w:rsid w:val="00A77F46"/>
    <w:rsid w:val="00A80181"/>
    <w:rsid w:val="00A8019E"/>
    <w:rsid w:val="00A802C4"/>
    <w:rsid w:val="00A8039A"/>
    <w:rsid w:val="00A811A4"/>
    <w:rsid w:val="00A81564"/>
    <w:rsid w:val="00A81E70"/>
    <w:rsid w:val="00A82034"/>
    <w:rsid w:val="00A82093"/>
    <w:rsid w:val="00A8237E"/>
    <w:rsid w:val="00A82D18"/>
    <w:rsid w:val="00A82FB9"/>
    <w:rsid w:val="00A83D5A"/>
    <w:rsid w:val="00A83E45"/>
    <w:rsid w:val="00A83F52"/>
    <w:rsid w:val="00A8444C"/>
    <w:rsid w:val="00A846EE"/>
    <w:rsid w:val="00A84725"/>
    <w:rsid w:val="00A8559E"/>
    <w:rsid w:val="00A859C9"/>
    <w:rsid w:val="00A85FF8"/>
    <w:rsid w:val="00A86386"/>
    <w:rsid w:val="00A866D4"/>
    <w:rsid w:val="00A86776"/>
    <w:rsid w:val="00A86B23"/>
    <w:rsid w:val="00A86E9E"/>
    <w:rsid w:val="00A8710E"/>
    <w:rsid w:val="00A874E8"/>
    <w:rsid w:val="00A87944"/>
    <w:rsid w:val="00A87D55"/>
    <w:rsid w:val="00A87E75"/>
    <w:rsid w:val="00A901E1"/>
    <w:rsid w:val="00A903E2"/>
    <w:rsid w:val="00A90750"/>
    <w:rsid w:val="00A90860"/>
    <w:rsid w:val="00A9086B"/>
    <w:rsid w:val="00A908F5"/>
    <w:rsid w:val="00A91184"/>
    <w:rsid w:val="00A919B7"/>
    <w:rsid w:val="00A91F11"/>
    <w:rsid w:val="00A922BD"/>
    <w:rsid w:val="00A92388"/>
    <w:rsid w:val="00A925BF"/>
    <w:rsid w:val="00A925FB"/>
    <w:rsid w:val="00A92944"/>
    <w:rsid w:val="00A92A6D"/>
    <w:rsid w:val="00A9327B"/>
    <w:rsid w:val="00A93383"/>
    <w:rsid w:val="00A936AE"/>
    <w:rsid w:val="00A937DA"/>
    <w:rsid w:val="00A93DC1"/>
    <w:rsid w:val="00A93F6B"/>
    <w:rsid w:val="00A94899"/>
    <w:rsid w:val="00A94E67"/>
    <w:rsid w:val="00A9558B"/>
    <w:rsid w:val="00A956BA"/>
    <w:rsid w:val="00A95FAD"/>
    <w:rsid w:val="00A9643A"/>
    <w:rsid w:val="00A96470"/>
    <w:rsid w:val="00A965AD"/>
    <w:rsid w:val="00A96CA5"/>
    <w:rsid w:val="00A96D78"/>
    <w:rsid w:val="00A96D90"/>
    <w:rsid w:val="00A96DC0"/>
    <w:rsid w:val="00A96E8B"/>
    <w:rsid w:val="00A96F8D"/>
    <w:rsid w:val="00A97E16"/>
    <w:rsid w:val="00AA039E"/>
    <w:rsid w:val="00AA0AF5"/>
    <w:rsid w:val="00AA10C8"/>
    <w:rsid w:val="00AA11AA"/>
    <w:rsid w:val="00AA1BB1"/>
    <w:rsid w:val="00AA26A2"/>
    <w:rsid w:val="00AA2717"/>
    <w:rsid w:val="00AA2853"/>
    <w:rsid w:val="00AA2ADD"/>
    <w:rsid w:val="00AA2BEC"/>
    <w:rsid w:val="00AA3346"/>
    <w:rsid w:val="00AA3CB8"/>
    <w:rsid w:val="00AA4385"/>
    <w:rsid w:val="00AA43E6"/>
    <w:rsid w:val="00AA445E"/>
    <w:rsid w:val="00AA4B45"/>
    <w:rsid w:val="00AA5224"/>
    <w:rsid w:val="00AA53AF"/>
    <w:rsid w:val="00AA60A0"/>
    <w:rsid w:val="00AA67F1"/>
    <w:rsid w:val="00AA6CFF"/>
    <w:rsid w:val="00AA710F"/>
    <w:rsid w:val="00AA7707"/>
    <w:rsid w:val="00AA77BE"/>
    <w:rsid w:val="00AA78BB"/>
    <w:rsid w:val="00AA7A74"/>
    <w:rsid w:val="00AA7B78"/>
    <w:rsid w:val="00AA7BDD"/>
    <w:rsid w:val="00AB00BA"/>
    <w:rsid w:val="00AB07E7"/>
    <w:rsid w:val="00AB09AA"/>
    <w:rsid w:val="00AB0BA6"/>
    <w:rsid w:val="00AB0C71"/>
    <w:rsid w:val="00AB0D3E"/>
    <w:rsid w:val="00AB0D54"/>
    <w:rsid w:val="00AB12FB"/>
    <w:rsid w:val="00AB17DA"/>
    <w:rsid w:val="00AB190F"/>
    <w:rsid w:val="00AB199F"/>
    <w:rsid w:val="00AB1BE5"/>
    <w:rsid w:val="00AB1C52"/>
    <w:rsid w:val="00AB24BC"/>
    <w:rsid w:val="00AB2D5A"/>
    <w:rsid w:val="00AB30FF"/>
    <w:rsid w:val="00AB3222"/>
    <w:rsid w:val="00AB39F2"/>
    <w:rsid w:val="00AB3A28"/>
    <w:rsid w:val="00AB3B71"/>
    <w:rsid w:val="00AB3B98"/>
    <w:rsid w:val="00AB3D45"/>
    <w:rsid w:val="00AB46DD"/>
    <w:rsid w:val="00AB4A0A"/>
    <w:rsid w:val="00AB4AD6"/>
    <w:rsid w:val="00AB5104"/>
    <w:rsid w:val="00AB5DBF"/>
    <w:rsid w:val="00AB5EAF"/>
    <w:rsid w:val="00AB5EE6"/>
    <w:rsid w:val="00AB6855"/>
    <w:rsid w:val="00AB6D66"/>
    <w:rsid w:val="00AB6D6C"/>
    <w:rsid w:val="00AB7329"/>
    <w:rsid w:val="00AB73C3"/>
    <w:rsid w:val="00AB75CA"/>
    <w:rsid w:val="00AC2027"/>
    <w:rsid w:val="00AC259F"/>
    <w:rsid w:val="00AC3AB7"/>
    <w:rsid w:val="00AC3CC6"/>
    <w:rsid w:val="00AC3CDA"/>
    <w:rsid w:val="00AC3E94"/>
    <w:rsid w:val="00AC3F83"/>
    <w:rsid w:val="00AC40FE"/>
    <w:rsid w:val="00AC4125"/>
    <w:rsid w:val="00AC48E1"/>
    <w:rsid w:val="00AC496D"/>
    <w:rsid w:val="00AC4EC9"/>
    <w:rsid w:val="00AC570F"/>
    <w:rsid w:val="00AC5891"/>
    <w:rsid w:val="00AC6178"/>
    <w:rsid w:val="00AC64EC"/>
    <w:rsid w:val="00AC6630"/>
    <w:rsid w:val="00AC6ACA"/>
    <w:rsid w:val="00AC6C0E"/>
    <w:rsid w:val="00AC6E70"/>
    <w:rsid w:val="00AC7295"/>
    <w:rsid w:val="00AC7475"/>
    <w:rsid w:val="00AC7757"/>
    <w:rsid w:val="00AC7D58"/>
    <w:rsid w:val="00AD00A2"/>
    <w:rsid w:val="00AD0223"/>
    <w:rsid w:val="00AD0241"/>
    <w:rsid w:val="00AD0A00"/>
    <w:rsid w:val="00AD0A5B"/>
    <w:rsid w:val="00AD1198"/>
    <w:rsid w:val="00AD230E"/>
    <w:rsid w:val="00AD255F"/>
    <w:rsid w:val="00AD2636"/>
    <w:rsid w:val="00AD2C4D"/>
    <w:rsid w:val="00AD2DA9"/>
    <w:rsid w:val="00AD402C"/>
    <w:rsid w:val="00AD46B5"/>
    <w:rsid w:val="00AD49B1"/>
    <w:rsid w:val="00AD49E3"/>
    <w:rsid w:val="00AD4F0F"/>
    <w:rsid w:val="00AD54BB"/>
    <w:rsid w:val="00AD592B"/>
    <w:rsid w:val="00AD59D9"/>
    <w:rsid w:val="00AD5A2A"/>
    <w:rsid w:val="00AD618C"/>
    <w:rsid w:val="00AD6619"/>
    <w:rsid w:val="00AD67A7"/>
    <w:rsid w:val="00AD67FE"/>
    <w:rsid w:val="00AD6883"/>
    <w:rsid w:val="00AD7184"/>
    <w:rsid w:val="00AD71F8"/>
    <w:rsid w:val="00AD7D0F"/>
    <w:rsid w:val="00AE0007"/>
    <w:rsid w:val="00AE108E"/>
    <w:rsid w:val="00AE1119"/>
    <w:rsid w:val="00AE11B8"/>
    <w:rsid w:val="00AE1C59"/>
    <w:rsid w:val="00AE1E97"/>
    <w:rsid w:val="00AE21F5"/>
    <w:rsid w:val="00AE244A"/>
    <w:rsid w:val="00AE252A"/>
    <w:rsid w:val="00AE2972"/>
    <w:rsid w:val="00AE2ABE"/>
    <w:rsid w:val="00AE2B9F"/>
    <w:rsid w:val="00AE2DA3"/>
    <w:rsid w:val="00AE371F"/>
    <w:rsid w:val="00AE380E"/>
    <w:rsid w:val="00AE381C"/>
    <w:rsid w:val="00AE39A6"/>
    <w:rsid w:val="00AE3B0D"/>
    <w:rsid w:val="00AE3C28"/>
    <w:rsid w:val="00AE3DB3"/>
    <w:rsid w:val="00AE4355"/>
    <w:rsid w:val="00AE43CC"/>
    <w:rsid w:val="00AE4B8F"/>
    <w:rsid w:val="00AE4C0D"/>
    <w:rsid w:val="00AE5029"/>
    <w:rsid w:val="00AE50FD"/>
    <w:rsid w:val="00AE5A0A"/>
    <w:rsid w:val="00AE5DA1"/>
    <w:rsid w:val="00AE5E65"/>
    <w:rsid w:val="00AE6838"/>
    <w:rsid w:val="00AE69BB"/>
    <w:rsid w:val="00AE6AB0"/>
    <w:rsid w:val="00AE6AB7"/>
    <w:rsid w:val="00AE6B70"/>
    <w:rsid w:val="00AE7755"/>
    <w:rsid w:val="00AE7845"/>
    <w:rsid w:val="00AE7BDA"/>
    <w:rsid w:val="00AE7E5E"/>
    <w:rsid w:val="00AF020A"/>
    <w:rsid w:val="00AF024E"/>
    <w:rsid w:val="00AF0A43"/>
    <w:rsid w:val="00AF0B83"/>
    <w:rsid w:val="00AF0D10"/>
    <w:rsid w:val="00AF0F5A"/>
    <w:rsid w:val="00AF0FBA"/>
    <w:rsid w:val="00AF11C3"/>
    <w:rsid w:val="00AF13D6"/>
    <w:rsid w:val="00AF17A6"/>
    <w:rsid w:val="00AF1DA1"/>
    <w:rsid w:val="00AF1DE8"/>
    <w:rsid w:val="00AF1E95"/>
    <w:rsid w:val="00AF1F66"/>
    <w:rsid w:val="00AF29DB"/>
    <w:rsid w:val="00AF2C31"/>
    <w:rsid w:val="00AF2D1D"/>
    <w:rsid w:val="00AF2D96"/>
    <w:rsid w:val="00AF31EB"/>
    <w:rsid w:val="00AF3579"/>
    <w:rsid w:val="00AF39F1"/>
    <w:rsid w:val="00AF39FB"/>
    <w:rsid w:val="00AF3C06"/>
    <w:rsid w:val="00AF3C8E"/>
    <w:rsid w:val="00AF4518"/>
    <w:rsid w:val="00AF4681"/>
    <w:rsid w:val="00AF4D38"/>
    <w:rsid w:val="00AF5E0E"/>
    <w:rsid w:val="00AF6657"/>
    <w:rsid w:val="00AF6CF4"/>
    <w:rsid w:val="00AF6E28"/>
    <w:rsid w:val="00AF6ED4"/>
    <w:rsid w:val="00AF7508"/>
    <w:rsid w:val="00AF76F0"/>
    <w:rsid w:val="00AF77EB"/>
    <w:rsid w:val="00AF7836"/>
    <w:rsid w:val="00B001A8"/>
    <w:rsid w:val="00B0068F"/>
    <w:rsid w:val="00B006E0"/>
    <w:rsid w:val="00B01318"/>
    <w:rsid w:val="00B01547"/>
    <w:rsid w:val="00B01563"/>
    <w:rsid w:val="00B01B25"/>
    <w:rsid w:val="00B020EB"/>
    <w:rsid w:val="00B0223F"/>
    <w:rsid w:val="00B027B4"/>
    <w:rsid w:val="00B02A66"/>
    <w:rsid w:val="00B02E00"/>
    <w:rsid w:val="00B035E3"/>
    <w:rsid w:val="00B03D63"/>
    <w:rsid w:val="00B03FCB"/>
    <w:rsid w:val="00B04E4D"/>
    <w:rsid w:val="00B0589B"/>
    <w:rsid w:val="00B05EE2"/>
    <w:rsid w:val="00B05FB3"/>
    <w:rsid w:val="00B06239"/>
    <w:rsid w:val="00B064CB"/>
    <w:rsid w:val="00B0652A"/>
    <w:rsid w:val="00B067CD"/>
    <w:rsid w:val="00B06AA8"/>
    <w:rsid w:val="00B06AB3"/>
    <w:rsid w:val="00B06DA2"/>
    <w:rsid w:val="00B07345"/>
    <w:rsid w:val="00B07398"/>
    <w:rsid w:val="00B100B3"/>
    <w:rsid w:val="00B10501"/>
    <w:rsid w:val="00B10A7C"/>
    <w:rsid w:val="00B10B23"/>
    <w:rsid w:val="00B10F76"/>
    <w:rsid w:val="00B111FF"/>
    <w:rsid w:val="00B11445"/>
    <w:rsid w:val="00B12222"/>
    <w:rsid w:val="00B1234E"/>
    <w:rsid w:val="00B12D2E"/>
    <w:rsid w:val="00B12EEB"/>
    <w:rsid w:val="00B1307E"/>
    <w:rsid w:val="00B1353F"/>
    <w:rsid w:val="00B136D3"/>
    <w:rsid w:val="00B137FC"/>
    <w:rsid w:val="00B13EA1"/>
    <w:rsid w:val="00B13FA8"/>
    <w:rsid w:val="00B13FB3"/>
    <w:rsid w:val="00B141E1"/>
    <w:rsid w:val="00B1480B"/>
    <w:rsid w:val="00B149BD"/>
    <w:rsid w:val="00B149E0"/>
    <w:rsid w:val="00B14E17"/>
    <w:rsid w:val="00B155C8"/>
    <w:rsid w:val="00B15A11"/>
    <w:rsid w:val="00B15CA9"/>
    <w:rsid w:val="00B165FE"/>
    <w:rsid w:val="00B167B8"/>
    <w:rsid w:val="00B16834"/>
    <w:rsid w:val="00B16EE8"/>
    <w:rsid w:val="00B17108"/>
    <w:rsid w:val="00B173E4"/>
    <w:rsid w:val="00B17B58"/>
    <w:rsid w:val="00B201F4"/>
    <w:rsid w:val="00B202F4"/>
    <w:rsid w:val="00B2133B"/>
    <w:rsid w:val="00B2135A"/>
    <w:rsid w:val="00B213EE"/>
    <w:rsid w:val="00B21DAF"/>
    <w:rsid w:val="00B22183"/>
    <w:rsid w:val="00B23099"/>
    <w:rsid w:val="00B232E1"/>
    <w:rsid w:val="00B2335A"/>
    <w:rsid w:val="00B234A3"/>
    <w:rsid w:val="00B23724"/>
    <w:rsid w:val="00B237AD"/>
    <w:rsid w:val="00B239F8"/>
    <w:rsid w:val="00B23EAE"/>
    <w:rsid w:val="00B24663"/>
    <w:rsid w:val="00B24A03"/>
    <w:rsid w:val="00B24F99"/>
    <w:rsid w:val="00B255EC"/>
    <w:rsid w:val="00B25A60"/>
    <w:rsid w:val="00B25A85"/>
    <w:rsid w:val="00B25AE3"/>
    <w:rsid w:val="00B25E3F"/>
    <w:rsid w:val="00B2602B"/>
    <w:rsid w:val="00B2664D"/>
    <w:rsid w:val="00B269C4"/>
    <w:rsid w:val="00B26C93"/>
    <w:rsid w:val="00B2716B"/>
    <w:rsid w:val="00B273E1"/>
    <w:rsid w:val="00B27762"/>
    <w:rsid w:val="00B27852"/>
    <w:rsid w:val="00B27C30"/>
    <w:rsid w:val="00B307D6"/>
    <w:rsid w:val="00B30CF5"/>
    <w:rsid w:val="00B30ED9"/>
    <w:rsid w:val="00B30F8A"/>
    <w:rsid w:val="00B32553"/>
    <w:rsid w:val="00B32680"/>
    <w:rsid w:val="00B3274B"/>
    <w:rsid w:val="00B32849"/>
    <w:rsid w:val="00B32973"/>
    <w:rsid w:val="00B335A9"/>
    <w:rsid w:val="00B33D21"/>
    <w:rsid w:val="00B34014"/>
    <w:rsid w:val="00B3456D"/>
    <w:rsid w:val="00B345C2"/>
    <w:rsid w:val="00B347A5"/>
    <w:rsid w:val="00B34B7E"/>
    <w:rsid w:val="00B34BA9"/>
    <w:rsid w:val="00B35923"/>
    <w:rsid w:val="00B35C93"/>
    <w:rsid w:val="00B35CD1"/>
    <w:rsid w:val="00B35EF6"/>
    <w:rsid w:val="00B35F54"/>
    <w:rsid w:val="00B3634A"/>
    <w:rsid w:val="00B36513"/>
    <w:rsid w:val="00B36597"/>
    <w:rsid w:val="00B36AA2"/>
    <w:rsid w:val="00B37043"/>
    <w:rsid w:val="00B37144"/>
    <w:rsid w:val="00B379AD"/>
    <w:rsid w:val="00B37AD5"/>
    <w:rsid w:val="00B37E80"/>
    <w:rsid w:val="00B40019"/>
    <w:rsid w:val="00B40909"/>
    <w:rsid w:val="00B40960"/>
    <w:rsid w:val="00B409CE"/>
    <w:rsid w:val="00B40FAB"/>
    <w:rsid w:val="00B411D3"/>
    <w:rsid w:val="00B41A50"/>
    <w:rsid w:val="00B41EA4"/>
    <w:rsid w:val="00B4280C"/>
    <w:rsid w:val="00B42855"/>
    <w:rsid w:val="00B42D7C"/>
    <w:rsid w:val="00B42ED9"/>
    <w:rsid w:val="00B433AD"/>
    <w:rsid w:val="00B44147"/>
    <w:rsid w:val="00B442CC"/>
    <w:rsid w:val="00B44509"/>
    <w:rsid w:val="00B446DD"/>
    <w:rsid w:val="00B44B77"/>
    <w:rsid w:val="00B45335"/>
    <w:rsid w:val="00B455EA"/>
    <w:rsid w:val="00B45AF1"/>
    <w:rsid w:val="00B46232"/>
    <w:rsid w:val="00B46778"/>
    <w:rsid w:val="00B4711B"/>
    <w:rsid w:val="00B47979"/>
    <w:rsid w:val="00B47AD9"/>
    <w:rsid w:val="00B47B0B"/>
    <w:rsid w:val="00B47C5C"/>
    <w:rsid w:val="00B47EEF"/>
    <w:rsid w:val="00B50759"/>
    <w:rsid w:val="00B509A2"/>
    <w:rsid w:val="00B512C2"/>
    <w:rsid w:val="00B5141A"/>
    <w:rsid w:val="00B51716"/>
    <w:rsid w:val="00B51B9C"/>
    <w:rsid w:val="00B51F9B"/>
    <w:rsid w:val="00B521D5"/>
    <w:rsid w:val="00B522E4"/>
    <w:rsid w:val="00B52965"/>
    <w:rsid w:val="00B52A74"/>
    <w:rsid w:val="00B52B5E"/>
    <w:rsid w:val="00B52EFC"/>
    <w:rsid w:val="00B536DB"/>
    <w:rsid w:val="00B5384E"/>
    <w:rsid w:val="00B53875"/>
    <w:rsid w:val="00B53897"/>
    <w:rsid w:val="00B542B0"/>
    <w:rsid w:val="00B542BA"/>
    <w:rsid w:val="00B546A8"/>
    <w:rsid w:val="00B54BA5"/>
    <w:rsid w:val="00B55201"/>
    <w:rsid w:val="00B55560"/>
    <w:rsid w:val="00B5593D"/>
    <w:rsid w:val="00B55DA4"/>
    <w:rsid w:val="00B56890"/>
    <w:rsid w:val="00B56EA9"/>
    <w:rsid w:val="00B570F2"/>
    <w:rsid w:val="00B57278"/>
    <w:rsid w:val="00B578C0"/>
    <w:rsid w:val="00B57C22"/>
    <w:rsid w:val="00B57DB0"/>
    <w:rsid w:val="00B57DCA"/>
    <w:rsid w:val="00B57DE3"/>
    <w:rsid w:val="00B603C8"/>
    <w:rsid w:val="00B60528"/>
    <w:rsid w:val="00B60A07"/>
    <w:rsid w:val="00B60D3F"/>
    <w:rsid w:val="00B61112"/>
    <w:rsid w:val="00B620C2"/>
    <w:rsid w:val="00B62163"/>
    <w:rsid w:val="00B62323"/>
    <w:rsid w:val="00B62AF6"/>
    <w:rsid w:val="00B62C8E"/>
    <w:rsid w:val="00B62ECF"/>
    <w:rsid w:val="00B63387"/>
    <w:rsid w:val="00B638C4"/>
    <w:rsid w:val="00B63D85"/>
    <w:rsid w:val="00B640B7"/>
    <w:rsid w:val="00B644D2"/>
    <w:rsid w:val="00B64A53"/>
    <w:rsid w:val="00B64FCE"/>
    <w:rsid w:val="00B65078"/>
    <w:rsid w:val="00B650B9"/>
    <w:rsid w:val="00B65155"/>
    <w:rsid w:val="00B6550B"/>
    <w:rsid w:val="00B655CB"/>
    <w:rsid w:val="00B65ACB"/>
    <w:rsid w:val="00B65F22"/>
    <w:rsid w:val="00B66240"/>
    <w:rsid w:val="00B66848"/>
    <w:rsid w:val="00B6687B"/>
    <w:rsid w:val="00B67071"/>
    <w:rsid w:val="00B67543"/>
    <w:rsid w:val="00B6757E"/>
    <w:rsid w:val="00B67591"/>
    <w:rsid w:val="00B67622"/>
    <w:rsid w:val="00B67643"/>
    <w:rsid w:val="00B67C6B"/>
    <w:rsid w:val="00B67CB5"/>
    <w:rsid w:val="00B70574"/>
    <w:rsid w:val="00B70A1D"/>
    <w:rsid w:val="00B71088"/>
    <w:rsid w:val="00B7138F"/>
    <w:rsid w:val="00B7154D"/>
    <w:rsid w:val="00B715BF"/>
    <w:rsid w:val="00B71A22"/>
    <w:rsid w:val="00B71C1F"/>
    <w:rsid w:val="00B7267D"/>
    <w:rsid w:val="00B726A6"/>
    <w:rsid w:val="00B726D1"/>
    <w:rsid w:val="00B72A04"/>
    <w:rsid w:val="00B72BE1"/>
    <w:rsid w:val="00B73130"/>
    <w:rsid w:val="00B7352E"/>
    <w:rsid w:val="00B73B2B"/>
    <w:rsid w:val="00B74100"/>
    <w:rsid w:val="00B74170"/>
    <w:rsid w:val="00B7433A"/>
    <w:rsid w:val="00B74575"/>
    <w:rsid w:val="00B746D9"/>
    <w:rsid w:val="00B74D85"/>
    <w:rsid w:val="00B74DE3"/>
    <w:rsid w:val="00B74FDC"/>
    <w:rsid w:val="00B753F5"/>
    <w:rsid w:val="00B75E22"/>
    <w:rsid w:val="00B7606C"/>
    <w:rsid w:val="00B76202"/>
    <w:rsid w:val="00B7640B"/>
    <w:rsid w:val="00B76530"/>
    <w:rsid w:val="00B769A3"/>
    <w:rsid w:val="00B76A13"/>
    <w:rsid w:val="00B76AFE"/>
    <w:rsid w:val="00B76E67"/>
    <w:rsid w:val="00B771C4"/>
    <w:rsid w:val="00B7746E"/>
    <w:rsid w:val="00B7776A"/>
    <w:rsid w:val="00B77799"/>
    <w:rsid w:val="00B77995"/>
    <w:rsid w:val="00B8064A"/>
    <w:rsid w:val="00B80A21"/>
    <w:rsid w:val="00B80AB1"/>
    <w:rsid w:val="00B80B2C"/>
    <w:rsid w:val="00B80B4A"/>
    <w:rsid w:val="00B80D50"/>
    <w:rsid w:val="00B81012"/>
    <w:rsid w:val="00B81192"/>
    <w:rsid w:val="00B811F8"/>
    <w:rsid w:val="00B8149A"/>
    <w:rsid w:val="00B817C6"/>
    <w:rsid w:val="00B81D4F"/>
    <w:rsid w:val="00B81D64"/>
    <w:rsid w:val="00B81E96"/>
    <w:rsid w:val="00B82243"/>
    <w:rsid w:val="00B823BB"/>
    <w:rsid w:val="00B826FD"/>
    <w:rsid w:val="00B827A4"/>
    <w:rsid w:val="00B82990"/>
    <w:rsid w:val="00B82ED6"/>
    <w:rsid w:val="00B82FFB"/>
    <w:rsid w:val="00B83A8E"/>
    <w:rsid w:val="00B83C7C"/>
    <w:rsid w:val="00B83F65"/>
    <w:rsid w:val="00B840F8"/>
    <w:rsid w:val="00B840FB"/>
    <w:rsid w:val="00B84269"/>
    <w:rsid w:val="00B84606"/>
    <w:rsid w:val="00B84954"/>
    <w:rsid w:val="00B849CE"/>
    <w:rsid w:val="00B84F5E"/>
    <w:rsid w:val="00B850E5"/>
    <w:rsid w:val="00B85685"/>
    <w:rsid w:val="00B857A7"/>
    <w:rsid w:val="00B85DDA"/>
    <w:rsid w:val="00B85F4C"/>
    <w:rsid w:val="00B86BB1"/>
    <w:rsid w:val="00B86CF9"/>
    <w:rsid w:val="00B86F89"/>
    <w:rsid w:val="00B8715D"/>
    <w:rsid w:val="00B873FB"/>
    <w:rsid w:val="00B8765B"/>
    <w:rsid w:val="00B8775B"/>
    <w:rsid w:val="00B87BB6"/>
    <w:rsid w:val="00B9025F"/>
    <w:rsid w:val="00B90285"/>
    <w:rsid w:val="00B905B5"/>
    <w:rsid w:val="00B905C2"/>
    <w:rsid w:val="00B9074C"/>
    <w:rsid w:val="00B90834"/>
    <w:rsid w:val="00B9093A"/>
    <w:rsid w:val="00B90FF5"/>
    <w:rsid w:val="00B913E9"/>
    <w:rsid w:val="00B9161D"/>
    <w:rsid w:val="00B916ED"/>
    <w:rsid w:val="00B91836"/>
    <w:rsid w:val="00B91910"/>
    <w:rsid w:val="00B91AE8"/>
    <w:rsid w:val="00B91F57"/>
    <w:rsid w:val="00B9202D"/>
    <w:rsid w:val="00B92076"/>
    <w:rsid w:val="00B922D7"/>
    <w:rsid w:val="00B92C3D"/>
    <w:rsid w:val="00B92F66"/>
    <w:rsid w:val="00B93136"/>
    <w:rsid w:val="00B9371F"/>
    <w:rsid w:val="00B937F2"/>
    <w:rsid w:val="00B93827"/>
    <w:rsid w:val="00B9400F"/>
    <w:rsid w:val="00B94148"/>
    <w:rsid w:val="00B946B6"/>
    <w:rsid w:val="00B949F6"/>
    <w:rsid w:val="00B94CB0"/>
    <w:rsid w:val="00B94EF0"/>
    <w:rsid w:val="00B9515C"/>
    <w:rsid w:val="00B9523B"/>
    <w:rsid w:val="00B956CE"/>
    <w:rsid w:val="00B961FF"/>
    <w:rsid w:val="00B9646F"/>
    <w:rsid w:val="00B9656A"/>
    <w:rsid w:val="00B967C9"/>
    <w:rsid w:val="00B96F4E"/>
    <w:rsid w:val="00B97742"/>
    <w:rsid w:val="00B97BA5"/>
    <w:rsid w:val="00BA0144"/>
    <w:rsid w:val="00BA017B"/>
    <w:rsid w:val="00BA042D"/>
    <w:rsid w:val="00BA0D6E"/>
    <w:rsid w:val="00BA107B"/>
    <w:rsid w:val="00BA1991"/>
    <w:rsid w:val="00BA270E"/>
    <w:rsid w:val="00BA2A6F"/>
    <w:rsid w:val="00BA2C04"/>
    <w:rsid w:val="00BA30DD"/>
    <w:rsid w:val="00BA3286"/>
    <w:rsid w:val="00BA3383"/>
    <w:rsid w:val="00BA347E"/>
    <w:rsid w:val="00BA3495"/>
    <w:rsid w:val="00BA3896"/>
    <w:rsid w:val="00BA38DA"/>
    <w:rsid w:val="00BA3A19"/>
    <w:rsid w:val="00BA3EE0"/>
    <w:rsid w:val="00BA4222"/>
    <w:rsid w:val="00BA428E"/>
    <w:rsid w:val="00BA42C9"/>
    <w:rsid w:val="00BA48AF"/>
    <w:rsid w:val="00BA4C1D"/>
    <w:rsid w:val="00BA4F01"/>
    <w:rsid w:val="00BA4F5E"/>
    <w:rsid w:val="00BA5187"/>
    <w:rsid w:val="00BA5226"/>
    <w:rsid w:val="00BA55C3"/>
    <w:rsid w:val="00BA61F7"/>
    <w:rsid w:val="00BA6B0B"/>
    <w:rsid w:val="00BA6D00"/>
    <w:rsid w:val="00BA6DB5"/>
    <w:rsid w:val="00BA7853"/>
    <w:rsid w:val="00BA785D"/>
    <w:rsid w:val="00BB0554"/>
    <w:rsid w:val="00BB06DD"/>
    <w:rsid w:val="00BB0AF4"/>
    <w:rsid w:val="00BB0B15"/>
    <w:rsid w:val="00BB0BEF"/>
    <w:rsid w:val="00BB0DC8"/>
    <w:rsid w:val="00BB11AA"/>
    <w:rsid w:val="00BB1902"/>
    <w:rsid w:val="00BB1CD4"/>
    <w:rsid w:val="00BB1CDE"/>
    <w:rsid w:val="00BB1EF6"/>
    <w:rsid w:val="00BB23B0"/>
    <w:rsid w:val="00BB2CC5"/>
    <w:rsid w:val="00BB2E12"/>
    <w:rsid w:val="00BB2E7D"/>
    <w:rsid w:val="00BB317D"/>
    <w:rsid w:val="00BB3200"/>
    <w:rsid w:val="00BB3B22"/>
    <w:rsid w:val="00BB4231"/>
    <w:rsid w:val="00BB4CC6"/>
    <w:rsid w:val="00BB50F7"/>
    <w:rsid w:val="00BB53CD"/>
    <w:rsid w:val="00BB5A39"/>
    <w:rsid w:val="00BB5BB5"/>
    <w:rsid w:val="00BB6405"/>
    <w:rsid w:val="00BB6AE1"/>
    <w:rsid w:val="00BB6D7D"/>
    <w:rsid w:val="00BB6D7F"/>
    <w:rsid w:val="00BB70B9"/>
    <w:rsid w:val="00BB7648"/>
    <w:rsid w:val="00BB7822"/>
    <w:rsid w:val="00BB79DE"/>
    <w:rsid w:val="00BB7A49"/>
    <w:rsid w:val="00BC0004"/>
    <w:rsid w:val="00BC081B"/>
    <w:rsid w:val="00BC0C65"/>
    <w:rsid w:val="00BC0E7E"/>
    <w:rsid w:val="00BC0EC8"/>
    <w:rsid w:val="00BC1055"/>
    <w:rsid w:val="00BC10CF"/>
    <w:rsid w:val="00BC1442"/>
    <w:rsid w:val="00BC1730"/>
    <w:rsid w:val="00BC19F3"/>
    <w:rsid w:val="00BC1E17"/>
    <w:rsid w:val="00BC34ED"/>
    <w:rsid w:val="00BC3544"/>
    <w:rsid w:val="00BC371B"/>
    <w:rsid w:val="00BC394F"/>
    <w:rsid w:val="00BC398A"/>
    <w:rsid w:val="00BC4147"/>
    <w:rsid w:val="00BC43F5"/>
    <w:rsid w:val="00BC44AF"/>
    <w:rsid w:val="00BC45A1"/>
    <w:rsid w:val="00BC4992"/>
    <w:rsid w:val="00BC5080"/>
    <w:rsid w:val="00BC5083"/>
    <w:rsid w:val="00BC5CEF"/>
    <w:rsid w:val="00BC5DA0"/>
    <w:rsid w:val="00BC61C7"/>
    <w:rsid w:val="00BC6669"/>
    <w:rsid w:val="00BC69C5"/>
    <w:rsid w:val="00BC6C82"/>
    <w:rsid w:val="00BC6D26"/>
    <w:rsid w:val="00BC6F42"/>
    <w:rsid w:val="00BC7022"/>
    <w:rsid w:val="00BC704B"/>
    <w:rsid w:val="00BC71B7"/>
    <w:rsid w:val="00BC7237"/>
    <w:rsid w:val="00BC7250"/>
    <w:rsid w:val="00BC761B"/>
    <w:rsid w:val="00BC788D"/>
    <w:rsid w:val="00BC78D5"/>
    <w:rsid w:val="00BC795A"/>
    <w:rsid w:val="00BC799A"/>
    <w:rsid w:val="00BC7CB3"/>
    <w:rsid w:val="00BD02D9"/>
    <w:rsid w:val="00BD067E"/>
    <w:rsid w:val="00BD0EC5"/>
    <w:rsid w:val="00BD12CA"/>
    <w:rsid w:val="00BD13A5"/>
    <w:rsid w:val="00BD1535"/>
    <w:rsid w:val="00BD19AC"/>
    <w:rsid w:val="00BD1B64"/>
    <w:rsid w:val="00BD1C4F"/>
    <w:rsid w:val="00BD1F71"/>
    <w:rsid w:val="00BD21D8"/>
    <w:rsid w:val="00BD23AA"/>
    <w:rsid w:val="00BD25C0"/>
    <w:rsid w:val="00BD2A75"/>
    <w:rsid w:val="00BD2BE3"/>
    <w:rsid w:val="00BD2D2C"/>
    <w:rsid w:val="00BD30BA"/>
    <w:rsid w:val="00BD34AB"/>
    <w:rsid w:val="00BD3A8D"/>
    <w:rsid w:val="00BD3CBC"/>
    <w:rsid w:val="00BD3EFE"/>
    <w:rsid w:val="00BD401C"/>
    <w:rsid w:val="00BD406F"/>
    <w:rsid w:val="00BD41EB"/>
    <w:rsid w:val="00BD4924"/>
    <w:rsid w:val="00BD4BAE"/>
    <w:rsid w:val="00BD4E3D"/>
    <w:rsid w:val="00BD4F41"/>
    <w:rsid w:val="00BD4FB6"/>
    <w:rsid w:val="00BD5783"/>
    <w:rsid w:val="00BD581F"/>
    <w:rsid w:val="00BD582C"/>
    <w:rsid w:val="00BD5A81"/>
    <w:rsid w:val="00BD5C1E"/>
    <w:rsid w:val="00BD6163"/>
    <w:rsid w:val="00BD617D"/>
    <w:rsid w:val="00BD65FD"/>
    <w:rsid w:val="00BD7228"/>
    <w:rsid w:val="00BD7359"/>
    <w:rsid w:val="00BD7871"/>
    <w:rsid w:val="00BD7A1C"/>
    <w:rsid w:val="00BD7AB0"/>
    <w:rsid w:val="00BD7F3F"/>
    <w:rsid w:val="00BE000B"/>
    <w:rsid w:val="00BE0EF0"/>
    <w:rsid w:val="00BE1141"/>
    <w:rsid w:val="00BE16AA"/>
    <w:rsid w:val="00BE1738"/>
    <w:rsid w:val="00BE180B"/>
    <w:rsid w:val="00BE1836"/>
    <w:rsid w:val="00BE1B09"/>
    <w:rsid w:val="00BE1B32"/>
    <w:rsid w:val="00BE1B3A"/>
    <w:rsid w:val="00BE1CE5"/>
    <w:rsid w:val="00BE241C"/>
    <w:rsid w:val="00BE2BB3"/>
    <w:rsid w:val="00BE3004"/>
    <w:rsid w:val="00BE3141"/>
    <w:rsid w:val="00BE3CED"/>
    <w:rsid w:val="00BE3D8E"/>
    <w:rsid w:val="00BE3FF5"/>
    <w:rsid w:val="00BE41FD"/>
    <w:rsid w:val="00BE425A"/>
    <w:rsid w:val="00BE46B1"/>
    <w:rsid w:val="00BE488A"/>
    <w:rsid w:val="00BE4AA2"/>
    <w:rsid w:val="00BE530C"/>
    <w:rsid w:val="00BE5439"/>
    <w:rsid w:val="00BE55BB"/>
    <w:rsid w:val="00BE55D2"/>
    <w:rsid w:val="00BE5A1F"/>
    <w:rsid w:val="00BE5BE2"/>
    <w:rsid w:val="00BE62ED"/>
    <w:rsid w:val="00BE6372"/>
    <w:rsid w:val="00BE6390"/>
    <w:rsid w:val="00BE6827"/>
    <w:rsid w:val="00BE6849"/>
    <w:rsid w:val="00BE6A5E"/>
    <w:rsid w:val="00BE6AC5"/>
    <w:rsid w:val="00BE6CB0"/>
    <w:rsid w:val="00BE71C8"/>
    <w:rsid w:val="00BE7695"/>
    <w:rsid w:val="00BE7F42"/>
    <w:rsid w:val="00BF008A"/>
    <w:rsid w:val="00BF0282"/>
    <w:rsid w:val="00BF0B89"/>
    <w:rsid w:val="00BF0F61"/>
    <w:rsid w:val="00BF13E5"/>
    <w:rsid w:val="00BF21FD"/>
    <w:rsid w:val="00BF284A"/>
    <w:rsid w:val="00BF2CE9"/>
    <w:rsid w:val="00BF3022"/>
    <w:rsid w:val="00BF347F"/>
    <w:rsid w:val="00BF37D7"/>
    <w:rsid w:val="00BF41D7"/>
    <w:rsid w:val="00BF45A5"/>
    <w:rsid w:val="00BF4B07"/>
    <w:rsid w:val="00BF4B8A"/>
    <w:rsid w:val="00BF4F52"/>
    <w:rsid w:val="00BF5343"/>
    <w:rsid w:val="00BF5D58"/>
    <w:rsid w:val="00BF6637"/>
    <w:rsid w:val="00BF6EFA"/>
    <w:rsid w:val="00BF71DA"/>
    <w:rsid w:val="00BF722E"/>
    <w:rsid w:val="00BF73B0"/>
    <w:rsid w:val="00BF7576"/>
    <w:rsid w:val="00BF7628"/>
    <w:rsid w:val="00BF799C"/>
    <w:rsid w:val="00C0021D"/>
    <w:rsid w:val="00C00652"/>
    <w:rsid w:val="00C00891"/>
    <w:rsid w:val="00C00B26"/>
    <w:rsid w:val="00C01078"/>
    <w:rsid w:val="00C01180"/>
    <w:rsid w:val="00C0145F"/>
    <w:rsid w:val="00C01EF6"/>
    <w:rsid w:val="00C0223E"/>
    <w:rsid w:val="00C025F2"/>
    <w:rsid w:val="00C02620"/>
    <w:rsid w:val="00C02B5B"/>
    <w:rsid w:val="00C03553"/>
    <w:rsid w:val="00C035E2"/>
    <w:rsid w:val="00C03BD6"/>
    <w:rsid w:val="00C03DD2"/>
    <w:rsid w:val="00C03F15"/>
    <w:rsid w:val="00C04591"/>
    <w:rsid w:val="00C047EA"/>
    <w:rsid w:val="00C04852"/>
    <w:rsid w:val="00C050B8"/>
    <w:rsid w:val="00C0576B"/>
    <w:rsid w:val="00C0636B"/>
    <w:rsid w:val="00C063D4"/>
    <w:rsid w:val="00C07527"/>
    <w:rsid w:val="00C0769F"/>
    <w:rsid w:val="00C07710"/>
    <w:rsid w:val="00C077CF"/>
    <w:rsid w:val="00C077D0"/>
    <w:rsid w:val="00C10539"/>
    <w:rsid w:val="00C10B91"/>
    <w:rsid w:val="00C10CD6"/>
    <w:rsid w:val="00C1122A"/>
    <w:rsid w:val="00C115C2"/>
    <w:rsid w:val="00C115ED"/>
    <w:rsid w:val="00C117FE"/>
    <w:rsid w:val="00C11A6E"/>
    <w:rsid w:val="00C11DB1"/>
    <w:rsid w:val="00C120CF"/>
    <w:rsid w:val="00C120E0"/>
    <w:rsid w:val="00C12328"/>
    <w:rsid w:val="00C128F1"/>
    <w:rsid w:val="00C1291D"/>
    <w:rsid w:val="00C12E93"/>
    <w:rsid w:val="00C12EA8"/>
    <w:rsid w:val="00C13CA1"/>
    <w:rsid w:val="00C13F21"/>
    <w:rsid w:val="00C13F8D"/>
    <w:rsid w:val="00C14A12"/>
    <w:rsid w:val="00C14A95"/>
    <w:rsid w:val="00C14CC7"/>
    <w:rsid w:val="00C15007"/>
    <w:rsid w:val="00C1527D"/>
    <w:rsid w:val="00C1533C"/>
    <w:rsid w:val="00C157A6"/>
    <w:rsid w:val="00C15C77"/>
    <w:rsid w:val="00C16296"/>
    <w:rsid w:val="00C1665C"/>
    <w:rsid w:val="00C16ADD"/>
    <w:rsid w:val="00C16B50"/>
    <w:rsid w:val="00C16C3D"/>
    <w:rsid w:val="00C16CE3"/>
    <w:rsid w:val="00C17032"/>
    <w:rsid w:val="00C1706D"/>
    <w:rsid w:val="00C175FE"/>
    <w:rsid w:val="00C1761D"/>
    <w:rsid w:val="00C1779D"/>
    <w:rsid w:val="00C17E20"/>
    <w:rsid w:val="00C17F33"/>
    <w:rsid w:val="00C202D2"/>
    <w:rsid w:val="00C2032E"/>
    <w:rsid w:val="00C20614"/>
    <w:rsid w:val="00C20B0A"/>
    <w:rsid w:val="00C20C58"/>
    <w:rsid w:val="00C20C5D"/>
    <w:rsid w:val="00C214D2"/>
    <w:rsid w:val="00C2196D"/>
    <w:rsid w:val="00C21AFB"/>
    <w:rsid w:val="00C22040"/>
    <w:rsid w:val="00C222EE"/>
    <w:rsid w:val="00C2251A"/>
    <w:rsid w:val="00C22743"/>
    <w:rsid w:val="00C22893"/>
    <w:rsid w:val="00C22E75"/>
    <w:rsid w:val="00C22F3D"/>
    <w:rsid w:val="00C230D8"/>
    <w:rsid w:val="00C232A4"/>
    <w:rsid w:val="00C2340D"/>
    <w:rsid w:val="00C23902"/>
    <w:rsid w:val="00C2393E"/>
    <w:rsid w:val="00C23B4B"/>
    <w:rsid w:val="00C23EBF"/>
    <w:rsid w:val="00C24427"/>
    <w:rsid w:val="00C2455A"/>
    <w:rsid w:val="00C24B58"/>
    <w:rsid w:val="00C24D66"/>
    <w:rsid w:val="00C24E2C"/>
    <w:rsid w:val="00C25149"/>
    <w:rsid w:val="00C25409"/>
    <w:rsid w:val="00C25FAC"/>
    <w:rsid w:val="00C25FFF"/>
    <w:rsid w:val="00C26095"/>
    <w:rsid w:val="00C262B3"/>
    <w:rsid w:val="00C262F3"/>
    <w:rsid w:val="00C26ED1"/>
    <w:rsid w:val="00C27412"/>
    <w:rsid w:val="00C276DC"/>
    <w:rsid w:val="00C27B76"/>
    <w:rsid w:val="00C27D01"/>
    <w:rsid w:val="00C27F7A"/>
    <w:rsid w:val="00C30672"/>
    <w:rsid w:val="00C30B05"/>
    <w:rsid w:val="00C310ED"/>
    <w:rsid w:val="00C31659"/>
    <w:rsid w:val="00C31D74"/>
    <w:rsid w:val="00C32329"/>
    <w:rsid w:val="00C3236F"/>
    <w:rsid w:val="00C3272B"/>
    <w:rsid w:val="00C32B60"/>
    <w:rsid w:val="00C331B2"/>
    <w:rsid w:val="00C33517"/>
    <w:rsid w:val="00C337F4"/>
    <w:rsid w:val="00C33981"/>
    <w:rsid w:val="00C33F21"/>
    <w:rsid w:val="00C34491"/>
    <w:rsid w:val="00C348BA"/>
    <w:rsid w:val="00C34962"/>
    <w:rsid w:val="00C35019"/>
    <w:rsid w:val="00C3503A"/>
    <w:rsid w:val="00C35CAA"/>
    <w:rsid w:val="00C35DF7"/>
    <w:rsid w:val="00C3615D"/>
    <w:rsid w:val="00C3645D"/>
    <w:rsid w:val="00C36F4C"/>
    <w:rsid w:val="00C36FB3"/>
    <w:rsid w:val="00C37181"/>
    <w:rsid w:val="00C3723D"/>
    <w:rsid w:val="00C3743F"/>
    <w:rsid w:val="00C37EF3"/>
    <w:rsid w:val="00C405FC"/>
    <w:rsid w:val="00C4083A"/>
    <w:rsid w:val="00C40A68"/>
    <w:rsid w:val="00C41120"/>
    <w:rsid w:val="00C4112F"/>
    <w:rsid w:val="00C41428"/>
    <w:rsid w:val="00C41D3F"/>
    <w:rsid w:val="00C421C1"/>
    <w:rsid w:val="00C4251F"/>
    <w:rsid w:val="00C42BD5"/>
    <w:rsid w:val="00C437B6"/>
    <w:rsid w:val="00C43DDD"/>
    <w:rsid w:val="00C44257"/>
    <w:rsid w:val="00C44BC4"/>
    <w:rsid w:val="00C44DA6"/>
    <w:rsid w:val="00C4506F"/>
    <w:rsid w:val="00C4515F"/>
    <w:rsid w:val="00C45747"/>
    <w:rsid w:val="00C46113"/>
    <w:rsid w:val="00C46173"/>
    <w:rsid w:val="00C468EF"/>
    <w:rsid w:val="00C46F80"/>
    <w:rsid w:val="00C5009A"/>
    <w:rsid w:val="00C50435"/>
    <w:rsid w:val="00C50539"/>
    <w:rsid w:val="00C506BF"/>
    <w:rsid w:val="00C5070D"/>
    <w:rsid w:val="00C50A6C"/>
    <w:rsid w:val="00C51413"/>
    <w:rsid w:val="00C5167C"/>
    <w:rsid w:val="00C51EE7"/>
    <w:rsid w:val="00C5213C"/>
    <w:rsid w:val="00C5258A"/>
    <w:rsid w:val="00C5267D"/>
    <w:rsid w:val="00C52A13"/>
    <w:rsid w:val="00C53944"/>
    <w:rsid w:val="00C547FD"/>
    <w:rsid w:val="00C54895"/>
    <w:rsid w:val="00C5516D"/>
    <w:rsid w:val="00C5585E"/>
    <w:rsid w:val="00C5593E"/>
    <w:rsid w:val="00C55F05"/>
    <w:rsid w:val="00C55FE6"/>
    <w:rsid w:val="00C56DB6"/>
    <w:rsid w:val="00C570CB"/>
    <w:rsid w:val="00C57423"/>
    <w:rsid w:val="00C5757C"/>
    <w:rsid w:val="00C57A71"/>
    <w:rsid w:val="00C57D22"/>
    <w:rsid w:val="00C60458"/>
    <w:rsid w:val="00C6056B"/>
    <w:rsid w:val="00C60677"/>
    <w:rsid w:val="00C60A08"/>
    <w:rsid w:val="00C60ACF"/>
    <w:rsid w:val="00C60B50"/>
    <w:rsid w:val="00C60EBA"/>
    <w:rsid w:val="00C611E2"/>
    <w:rsid w:val="00C61A50"/>
    <w:rsid w:val="00C6219A"/>
    <w:rsid w:val="00C6229B"/>
    <w:rsid w:val="00C627F5"/>
    <w:rsid w:val="00C630D3"/>
    <w:rsid w:val="00C635F2"/>
    <w:rsid w:val="00C6362D"/>
    <w:rsid w:val="00C63A7A"/>
    <w:rsid w:val="00C63FA3"/>
    <w:rsid w:val="00C63FF4"/>
    <w:rsid w:val="00C641CA"/>
    <w:rsid w:val="00C641F9"/>
    <w:rsid w:val="00C64D4C"/>
    <w:rsid w:val="00C65216"/>
    <w:rsid w:val="00C65344"/>
    <w:rsid w:val="00C65765"/>
    <w:rsid w:val="00C6585D"/>
    <w:rsid w:val="00C65E0D"/>
    <w:rsid w:val="00C660C6"/>
    <w:rsid w:val="00C667D5"/>
    <w:rsid w:val="00C66F34"/>
    <w:rsid w:val="00C66F92"/>
    <w:rsid w:val="00C671F0"/>
    <w:rsid w:val="00C67495"/>
    <w:rsid w:val="00C7067A"/>
    <w:rsid w:val="00C70C5A"/>
    <w:rsid w:val="00C70CD1"/>
    <w:rsid w:val="00C7140B"/>
    <w:rsid w:val="00C718A7"/>
    <w:rsid w:val="00C71ADC"/>
    <w:rsid w:val="00C720FF"/>
    <w:rsid w:val="00C7242F"/>
    <w:rsid w:val="00C72735"/>
    <w:rsid w:val="00C72A34"/>
    <w:rsid w:val="00C72BFE"/>
    <w:rsid w:val="00C73B83"/>
    <w:rsid w:val="00C74769"/>
    <w:rsid w:val="00C747EE"/>
    <w:rsid w:val="00C752CF"/>
    <w:rsid w:val="00C753AE"/>
    <w:rsid w:val="00C754ED"/>
    <w:rsid w:val="00C756DB"/>
    <w:rsid w:val="00C759E3"/>
    <w:rsid w:val="00C75CB6"/>
    <w:rsid w:val="00C761F8"/>
    <w:rsid w:val="00C7627E"/>
    <w:rsid w:val="00C763D9"/>
    <w:rsid w:val="00C76697"/>
    <w:rsid w:val="00C769FE"/>
    <w:rsid w:val="00C76DBC"/>
    <w:rsid w:val="00C777B0"/>
    <w:rsid w:val="00C800C1"/>
    <w:rsid w:val="00C80246"/>
    <w:rsid w:val="00C803F0"/>
    <w:rsid w:val="00C8086A"/>
    <w:rsid w:val="00C81222"/>
    <w:rsid w:val="00C8139F"/>
    <w:rsid w:val="00C815F6"/>
    <w:rsid w:val="00C81757"/>
    <w:rsid w:val="00C81826"/>
    <w:rsid w:val="00C81E98"/>
    <w:rsid w:val="00C821D7"/>
    <w:rsid w:val="00C8270B"/>
    <w:rsid w:val="00C830E6"/>
    <w:rsid w:val="00C83120"/>
    <w:rsid w:val="00C8369C"/>
    <w:rsid w:val="00C83F35"/>
    <w:rsid w:val="00C8429B"/>
    <w:rsid w:val="00C845D5"/>
    <w:rsid w:val="00C8470C"/>
    <w:rsid w:val="00C8495C"/>
    <w:rsid w:val="00C84A4A"/>
    <w:rsid w:val="00C85139"/>
    <w:rsid w:val="00C85959"/>
    <w:rsid w:val="00C85A76"/>
    <w:rsid w:val="00C85D3E"/>
    <w:rsid w:val="00C860B7"/>
    <w:rsid w:val="00C86194"/>
    <w:rsid w:val="00C8686D"/>
    <w:rsid w:val="00C868FD"/>
    <w:rsid w:val="00C87905"/>
    <w:rsid w:val="00C87957"/>
    <w:rsid w:val="00C87D68"/>
    <w:rsid w:val="00C90079"/>
    <w:rsid w:val="00C901DC"/>
    <w:rsid w:val="00C909D3"/>
    <w:rsid w:val="00C90C4E"/>
    <w:rsid w:val="00C90C6A"/>
    <w:rsid w:val="00C912A5"/>
    <w:rsid w:val="00C91499"/>
    <w:rsid w:val="00C915A7"/>
    <w:rsid w:val="00C919F7"/>
    <w:rsid w:val="00C91C59"/>
    <w:rsid w:val="00C920B0"/>
    <w:rsid w:val="00C92285"/>
    <w:rsid w:val="00C92518"/>
    <w:rsid w:val="00C92C54"/>
    <w:rsid w:val="00C92E32"/>
    <w:rsid w:val="00C9308B"/>
    <w:rsid w:val="00C93099"/>
    <w:rsid w:val="00C938AC"/>
    <w:rsid w:val="00C93962"/>
    <w:rsid w:val="00C93F87"/>
    <w:rsid w:val="00C944AF"/>
    <w:rsid w:val="00C94627"/>
    <w:rsid w:val="00C9463B"/>
    <w:rsid w:val="00C94F5B"/>
    <w:rsid w:val="00C95177"/>
    <w:rsid w:val="00C95298"/>
    <w:rsid w:val="00C952D9"/>
    <w:rsid w:val="00C95348"/>
    <w:rsid w:val="00C954CC"/>
    <w:rsid w:val="00C9566B"/>
    <w:rsid w:val="00C9579E"/>
    <w:rsid w:val="00C95ACC"/>
    <w:rsid w:val="00C961C5"/>
    <w:rsid w:val="00C96260"/>
    <w:rsid w:val="00C9664B"/>
    <w:rsid w:val="00C9785E"/>
    <w:rsid w:val="00C97AA9"/>
    <w:rsid w:val="00C97B42"/>
    <w:rsid w:val="00CA00C9"/>
    <w:rsid w:val="00CA0241"/>
    <w:rsid w:val="00CA02CA"/>
    <w:rsid w:val="00CA061D"/>
    <w:rsid w:val="00CA0922"/>
    <w:rsid w:val="00CA0C0D"/>
    <w:rsid w:val="00CA1502"/>
    <w:rsid w:val="00CA1595"/>
    <w:rsid w:val="00CA183C"/>
    <w:rsid w:val="00CA1AF0"/>
    <w:rsid w:val="00CA1D69"/>
    <w:rsid w:val="00CA1FEB"/>
    <w:rsid w:val="00CA2C2D"/>
    <w:rsid w:val="00CA33DB"/>
    <w:rsid w:val="00CA3634"/>
    <w:rsid w:val="00CA3CF3"/>
    <w:rsid w:val="00CA3DD1"/>
    <w:rsid w:val="00CA3F17"/>
    <w:rsid w:val="00CA3F97"/>
    <w:rsid w:val="00CA411D"/>
    <w:rsid w:val="00CA4291"/>
    <w:rsid w:val="00CA4CDD"/>
    <w:rsid w:val="00CA5A74"/>
    <w:rsid w:val="00CA5B7D"/>
    <w:rsid w:val="00CA5BD7"/>
    <w:rsid w:val="00CA5F19"/>
    <w:rsid w:val="00CA604C"/>
    <w:rsid w:val="00CA64D0"/>
    <w:rsid w:val="00CA6B09"/>
    <w:rsid w:val="00CA6C34"/>
    <w:rsid w:val="00CA6EF2"/>
    <w:rsid w:val="00CA7539"/>
    <w:rsid w:val="00CA7C57"/>
    <w:rsid w:val="00CA7C85"/>
    <w:rsid w:val="00CA7D37"/>
    <w:rsid w:val="00CA7DAE"/>
    <w:rsid w:val="00CA7F2E"/>
    <w:rsid w:val="00CB0534"/>
    <w:rsid w:val="00CB0707"/>
    <w:rsid w:val="00CB0FBA"/>
    <w:rsid w:val="00CB1053"/>
    <w:rsid w:val="00CB1325"/>
    <w:rsid w:val="00CB1481"/>
    <w:rsid w:val="00CB1950"/>
    <w:rsid w:val="00CB1C8E"/>
    <w:rsid w:val="00CB23C2"/>
    <w:rsid w:val="00CB23DD"/>
    <w:rsid w:val="00CB27A2"/>
    <w:rsid w:val="00CB286A"/>
    <w:rsid w:val="00CB2E2D"/>
    <w:rsid w:val="00CB323D"/>
    <w:rsid w:val="00CB3479"/>
    <w:rsid w:val="00CB386F"/>
    <w:rsid w:val="00CB3AED"/>
    <w:rsid w:val="00CB432C"/>
    <w:rsid w:val="00CB47C0"/>
    <w:rsid w:val="00CB4C72"/>
    <w:rsid w:val="00CB4DE5"/>
    <w:rsid w:val="00CB4EAF"/>
    <w:rsid w:val="00CB59CB"/>
    <w:rsid w:val="00CB62DD"/>
    <w:rsid w:val="00CB64D3"/>
    <w:rsid w:val="00CB6A5C"/>
    <w:rsid w:val="00CB6D47"/>
    <w:rsid w:val="00CB715E"/>
    <w:rsid w:val="00CB7433"/>
    <w:rsid w:val="00CB75F0"/>
    <w:rsid w:val="00CB7971"/>
    <w:rsid w:val="00CB7A3D"/>
    <w:rsid w:val="00CB7F3D"/>
    <w:rsid w:val="00CC000F"/>
    <w:rsid w:val="00CC026E"/>
    <w:rsid w:val="00CC060D"/>
    <w:rsid w:val="00CC065E"/>
    <w:rsid w:val="00CC08B1"/>
    <w:rsid w:val="00CC0E14"/>
    <w:rsid w:val="00CC12BE"/>
    <w:rsid w:val="00CC17D3"/>
    <w:rsid w:val="00CC1C7E"/>
    <w:rsid w:val="00CC2133"/>
    <w:rsid w:val="00CC25DD"/>
    <w:rsid w:val="00CC265D"/>
    <w:rsid w:val="00CC2A22"/>
    <w:rsid w:val="00CC2C6F"/>
    <w:rsid w:val="00CC2D65"/>
    <w:rsid w:val="00CC326B"/>
    <w:rsid w:val="00CC3AF8"/>
    <w:rsid w:val="00CC3BDF"/>
    <w:rsid w:val="00CC3DCC"/>
    <w:rsid w:val="00CC43A8"/>
    <w:rsid w:val="00CC48D5"/>
    <w:rsid w:val="00CC4D69"/>
    <w:rsid w:val="00CC53DA"/>
    <w:rsid w:val="00CC5BAE"/>
    <w:rsid w:val="00CC66E3"/>
    <w:rsid w:val="00CC689C"/>
    <w:rsid w:val="00CC68B0"/>
    <w:rsid w:val="00CC7781"/>
    <w:rsid w:val="00CC7852"/>
    <w:rsid w:val="00CC7A8E"/>
    <w:rsid w:val="00CC7CDF"/>
    <w:rsid w:val="00CD019D"/>
    <w:rsid w:val="00CD0234"/>
    <w:rsid w:val="00CD03F4"/>
    <w:rsid w:val="00CD09CB"/>
    <w:rsid w:val="00CD0F1E"/>
    <w:rsid w:val="00CD1470"/>
    <w:rsid w:val="00CD162F"/>
    <w:rsid w:val="00CD1BD8"/>
    <w:rsid w:val="00CD1E47"/>
    <w:rsid w:val="00CD260A"/>
    <w:rsid w:val="00CD2698"/>
    <w:rsid w:val="00CD27F3"/>
    <w:rsid w:val="00CD35A9"/>
    <w:rsid w:val="00CD3979"/>
    <w:rsid w:val="00CD3A64"/>
    <w:rsid w:val="00CD3C05"/>
    <w:rsid w:val="00CD3CF1"/>
    <w:rsid w:val="00CD3D0A"/>
    <w:rsid w:val="00CD3E46"/>
    <w:rsid w:val="00CD47F9"/>
    <w:rsid w:val="00CD487A"/>
    <w:rsid w:val="00CD49E7"/>
    <w:rsid w:val="00CD4DDB"/>
    <w:rsid w:val="00CD4F07"/>
    <w:rsid w:val="00CD4FFC"/>
    <w:rsid w:val="00CD506E"/>
    <w:rsid w:val="00CD58A2"/>
    <w:rsid w:val="00CD5BE0"/>
    <w:rsid w:val="00CD5E3F"/>
    <w:rsid w:val="00CD6044"/>
    <w:rsid w:val="00CD63B5"/>
    <w:rsid w:val="00CD6802"/>
    <w:rsid w:val="00CD6B54"/>
    <w:rsid w:val="00CD6D40"/>
    <w:rsid w:val="00CD7066"/>
    <w:rsid w:val="00CD715A"/>
    <w:rsid w:val="00CD7858"/>
    <w:rsid w:val="00CD7C13"/>
    <w:rsid w:val="00CD7FEE"/>
    <w:rsid w:val="00CE01BF"/>
    <w:rsid w:val="00CE039C"/>
    <w:rsid w:val="00CE124C"/>
    <w:rsid w:val="00CE1756"/>
    <w:rsid w:val="00CE1A17"/>
    <w:rsid w:val="00CE1FFC"/>
    <w:rsid w:val="00CE264F"/>
    <w:rsid w:val="00CE2705"/>
    <w:rsid w:val="00CE283F"/>
    <w:rsid w:val="00CE2931"/>
    <w:rsid w:val="00CE2D1D"/>
    <w:rsid w:val="00CE31D1"/>
    <w:rsid w:val="00CE3483"/>
    <w:rsid w:val="00CE34B5"/>
    <w:rsid w:val="00CE34E0"/>
    <w:rsid w:val="00CE36B5"/>
    <w:rsid w:val="00CE3747"/>
    <w:rsid w:val="00CE3806"/>
    <w:rsid w:val="00CE41CE"/>
    <w:rsid w:val="00CE420A"/>
    <w:rsid w:val="00CE43FF"/>
    <w:rsid w:val="00CE44FB"/>
    <w:rsid w:val="00CE4707"/>
    <w:rsid w:val="00CE4886"/>
    <w:rsid w:val="00CE4936"/>
    <w:rsid w:val="00CE49E9"/>
    <w:rsid w:val="00CE57BB"/>
    <w:rsid w:val="00CE5A05"/>
    <w:rsid w:val="00CE5E3A"/>
    <w:rsid w:val="00CE6341"/>
    <w:rsid w:val="00CE634C"/>
    <w:rsid w:val="00CE68F5"/>
    <w:rsid w:val="00CE71D4"/>
    <w:rsid w:val="00CE75DB"/>
    <w:rsid w:val="00CE7954"/>
    <w:rsid w:val="00CF016E"/>
    <w:rsid w:val="00CF027D"/>
    <w:rsid w:val="00CF0326"/>
    <w:rsid w:val="00CF0BD0"/>
    <w:rsid w:val="00CF1501"/>
    <w:rsid w:val="00CF18EB"/>
    <w:rsid w:val="00CF1EDE"/>
    <w:rsid w:val="00CF2398"/>
    <w:rsid w:val="00CF2A5C"/>
    <w:rsid w:val="00CF2BF5"/>
    <w:rsid w:val="00CF344A"/>
    <w:rsid w:val="00CF34D5"/>
    <w:rsid w:val="00CF38D1"/>
    <w:rsid w:val="00CF418F"/>
    <w:rsid w:val="00CF41A5"/>
    <w:rsid w:val="00CF4410"/>
    <w:rsid w:val="00CF447B"/>
    <w:rsid w:val="00CF471F"/>
    <w:rsid w:val="00CF4747"/>
    <w:rsid w:val="00CF4830"/>
    <w:rsid w:val="00CF52A3"/>
    <w:rsid w:val="00CF6561"/>
    <w:rsid w:val="00CF7182"/>
    <w:rsid w:val="00CF737A"/>
    <w:rsid w:val="00CF7580"/>
    <w:rsid w:val="00CF7594"/>
    <w:rsid w:val="00CF75E2"/>
    <w:rsid w:val="00CF792E"/>
    <w:rsid w:val="00D005A2"/>
    <w:rsid w:val="00D0068A"/>
    <w:rsid w:val="00D01164"/>
    <w:rsid w:val="00D01CA0"/>
    <w:rsid w:val="00D02FA4"/>
    <w:rsid w:val="00D038BB"/>
    <w:rsid w:val="00D039F8"/>
    <w:rsid w:val="00D03A72"/>
    <w:rsid w:val="00D03BD2"/>
    <w:rsid w:val="00D03D89"/>
    <w:rsid w:val="00D03D8B"/>
    <w:rsid w:val="00D043BB"/>
    <w:rsid w:val="00D04EE6"/>
    <w:rsid w:val="00D05345"/>
    <w:rsid w:val="00D054A3"/>
    <w:rsid w:val="00D05800"/>
    <w:rsid w:val="00D0618E"/>
    <w:rsid w:val="00D064E6"/>
    <w:rsid w:val="00D0665C"/>
    <w:rsid w:val="00D06694"/>
    <w:rsid w:val="00D067FA"/>
    <w:rsid w:val="00D06B5C"/>
    <w:rsid w:val="00D06C6F"/>
    <w:rsid w:val="00D070C1"/>
    <w:rsid w:val="00D07119"/>
    <w:rsid w:val="00D0722D"/>
    <w:rsid w:val="00D074C7"/>
    <w:rsid w:val="00D108F7"/>
    <w:rsid w:val="00D10A75"/>
    <w:rsid w:val="00D10AAF"/>
    <w:rsid w:val="00D10D6E"/>
    <w:rsid w:val="00D10F3E"/>
    <w:rsid w:val="00D11093"/>
    <w:rsid w:val="00D11395"/>
    <w:rsid w:val="00D114E0"/>
    <w:rsid w:val="00D11DC4"/>
    <w:rsid w:val="00D11DC5"/>
    <w:rsid w:val="00D12124"/>
    <w:rsid w:val="00D1219D"/>
    <w:rsid w:val="00D12515"/>
    <w:rsid w:val="00D12BCB"/>
    <w:rsid w:val="00D130D6"/>
    <w:rsid w:val="00D13221"/>
    <w:rsid w:val="00D136F7"/>
    <w:rsid w:val="00D142AB"/>
    <w:rsid w:val="00D142D1"/>
    <w:rsid w:val="00D1440C"/>
    <w:rsid w:val="00D1457A"/>
    <w:rsid w:val="00D14662"/>
    <w:rsid w:val="00D15318"/>
    <w:rsid w:val="00D154A0"/>
    <w:rsid w:val="00D156A9"/>
    <w:rsid w:val="00D15730"/>
    <w:rsid w:val="00D159F6"/>
    <w:rsid w:val="00D15E24"/>
    <w:rsid w:val="00D1637B"/>
    <w:rsid w:val="00D16484"/>
    <w:rsid w:val="00D16D97"/>
    <w:rsid w:val="00D16FEA"/>
    <w:rsid w:val="00D170B5"/>
    <w:rsid w:val="00D20005"/>
    <w:rsid w:val="00D20485"/>
    <w:rsid w:val="00D20C34"/>
    <w:rsid w:val="00D2137C"/>
    <w:rsid w:val="00D2157E"/>
    <w:rsid w:val="00D21A53"/>
    <w:rsid w:val="00D21DBA"/>
    <w:rsid w:val="00D22268"/>
    <w:rsid w:val="00D224C1"/>
    <w:rsid w:val="00D225E1"/>
    <w:rsid w:val="00D22BEC"/>
    <w:rsid w:val="00D23349"/>
    <w:rsid w:val="00D23938"/>
    <w:rsid w:val="00D23A22"/>
    <w:rsid w:val="00D2455E"/>
    <w:rsid w:val="00D24688"/>
    <w:rsid w:val="00D247CC"/>
    <w:rsid w:val="00D24B8E"/>
    <w:rsid w:val="00D24DE2"/>
    <w:rsid w:val="00D25211"/>
    <w:rsid w:val="00D25717"/>
    <w:rsid w:val="00D25915"/>
    <w:rsid w:val="00D25B86"/>
    <w:rsid w:val="00D26E1F"/>
    <w:rsid w:val="00D26FBE"/>
    <w:rsid w:val="00D272D6"/>
    <w:rsid w:val="00D274FC"/>
    <w:rsid w:val="00D277BD"/>
    <w:rsid w:val="00D27C33"/>
    <w:rsid w:val="00D27DA3"/>
    <w:rsid w:val="00D301EF"/>
    <w:rsid w:val="00D3035E"/>
    <w:rsid w:val="00D30E23"/>
    <w:rsid w:val="00D310E2"/>
    <w:rsid w:val="00D311D3"/>
    <w:rsid w:val="00D31D23"/>
    <w:rsid w:val="00D3211A"/>
    <w:rsid w:val="00D3227D"/>
    <w:rsid w:val="00D3264C"/>
    <w:rsid w:val="00D326D2"/>
    <w:rsid w:val="00D32880"/>
    <w:rsid w:val="00D32E51"/>
    <w:rsid w:val="00D33197"/>
    <w:rsid w:val="00D3324A"/>
    <w:rsid w:val="00D3344C"/>
    <w:rsid w:val="00D33797"/>
    <w:rsid w:val="00D33D46"/>
    <w:rsid w:val="00D340EC"/>
    <w:rsid w:val="00D3454C"/>
    <w:rsid w:val="00D34BA6"/>
    <w:rsid w:val="00D34DBD"/>
    <w:rsid w:val="00D3506F"/>
    <w:rsid w:val="00D352E3"/>
    <w:rsid w:val="00D352E8"/>
    <w:rsid w:val="00D35507"/>
    <w:rsid w:val="00D356C4"/>
    <w:rsid w:val="00D35975"/>
    <w:rsid w:val="00D35B6D"/>
    <w:rsid w:val="00D35F6F"/>
    <w:rsid w:val="00D36521"/>
    <w:rsid w:val="00D3695E"/>
    <w:rsid w:val="00D3720E"/>
    <w:rsid w:val="00D376C1"/>
    <w:rsid w:val="00D376E0"/>
    <w:rsid w:val="00D37A4E"/>
    <w:rsid w:val="00D37D27"/>
    <w:rsid w:val="00D37D46"/>
    <w:rsid w:val="00D37E5D"/>
    <w:rsid w:val="00D37FD3"/>
    <w:rsid w:val="00D4012A"/>
    <w:rsid w:val="00D40689"/>
    <w:rsid w:val="00D40C06"/>
    <w:rsid w:val="00D40E90"/>
    <w:rsid w:val="00D41252"/>
    <w:rsid w:val="00D41902"/>
    <w:rsid w:val="00D42023"/>
    <w:rsid w:val="00D4281B"/>
    <w:rsid w:val="00D42E2A"/>
    <w:rsid w:val="00D42EAC"/>
    <w:rsid w:val="00D43332"/>
    <w:rsid w:val="00D446DD"/>
    <w:rsid w:val="00D4475C"/>
    <w:rsid w:val="00D44FF6"/>
    <w:rsid w:val="00D45453"/>
    <w:rsid w:val="00D4573D"/>
    <w:rsid w:val="00D4578B"/>
    <w:rsid w:val="00D45890"/>
    <w:rsid w:val="00D46220"/>
    <w:rsid w:val="00D4656C"/>
    <w:rsid w:val="00D4678A"/>
    <w:rsid w:val="00D46B63"/>
    <w:rsid w:val="00D46E8D"/>
    <w:rsid w:val="00D47050"/>
    <w:rsid w:val="00D47087"/>
    <w:rsid w:val="00D4710C"/>
    <w:rsid w:val="00D4736D"/>
    <w:rsid w:val="00D47949"/>
    <w:rsid w:val="00D47B6A"/>
    <w:rsid w:val="00D47E98"/>
    <w:rsid w:val="00D50519"/>
    <w:rsid w:val="00D50773"/>
    <w:rsid w:val="00D507DB"/>
    <w:rsid w:val="00D50A55"/>
    <w:rsid w:val="00D50B80"/>
    <w:rsid w:val="00D5122D"/>
    <w:rsid w:val="00D5150F"/>
    <w:rsid w:val="00D517C1"/>
    <w:rsid w:val="00D51EEF"/>
    <w:rsid w:val="00D51F3B"/>
    <w:rsid w:val="00D529B1"/>
    <w:rsid w:val="00D52CD7"/>
    <w:rsid w:val="00D53B91"/>
    <w:rsid w:val="00D53D93"/>
    <w:rsid w:val="00D54063"/>
    <w:rsid w:val="00D54225"/>
    <w:rsid w:val="00D54285"/>
    <w:rsid w:val="00D542B4"/>
    <w:rsid w:val="00D5435C"/>
    <w:rsid w:val="00D5452C"/>
    <w:rsid w:val="00D5461F"/>
    <w:rsid w:val="00D54793"/>
    <w:rsid w:val="00D549BC"/>
    <w:rsid w:val="00D54C72"/>
    <w:rsid w:val="00D55223"/>
    <w:rsid w:val="00D55A56"/>
    <w:rsid w:val="00D563D7"/>
    <w:rsid w:val="00D56A93"/>
    <w:rsid w:val="00D56C58"/>
    <w:rsid w:val="00D56EB6"/>
    <w:rsid w:val="00D575E8"/>
    <w:rsid w:val="00D57B9C"/>
    <w:rsid w:val="00D57E7F"/>
    <w:rsid w:val="00D603F3"/>
    <w:rsid w:val="00D60988"/>
    <w:rsid w:val="00D609F2"/>
    <w:rsid w:val="00D60B46"/>
    <w:rsid w:val="00D613F3"/>
    <w:rsid w:val="00D61589"/>
    <w:rsid w:val="00D61857"/>
    <w:rsid w:val="00D61A72"/>
    <w:rsid w:val="00D61DFB"/>
    <w:rsid w:val="00D622C5"/>
    <w:rsid w:val="00D623DC"/>
    <w:rsid w:val="00D62544"/>
    <w:rsid w:val="00D6272E"/>
    <w:rsid w:val="00D6290F"/>
    <w:rsid w:val="00D62E44"/>
    <w:rsid w:val="00D6399C"/>
    <w:rsid w:val="00D63C0A"/>
    <w:rsid w:val="00D63D64"/>
    <w:rsid w:val="00D63EFE"/>
    <w:rsid w:val="00D64742"/>
    <w:rsid w:val="00D64BC1"/>
    <w:rsid w:val="00D64C10"/>
    <w:rsid w:val="00D652DB"/>
    <w:rsid w:val="00D65741"/>
    <w:rsid w:val="00D658C8"/>
    <w:rsid w:val="00D65912"/>
    <w:rsid w:val="00D65DF4"/>
    <w:rsid w:val="00D65F22"/>
    <w:rsid w:val="00D66207"/>
    <w:rsid w:val="00D668B4"/>
    <w:rsid w:val="00D66D1B"/>
    <w:rsid w:val="00D670CF"/>
    <w:rsid w:val="00D67493"/>
    <w:rsid w:val="00D6764D"/>
    <w:rsid w:val="00D679D5"/>
    <w:rsid w:val="00D67BBD"/>
    <w:rsid w:val="00D67E72"/>
    <w:rsid w:val="00D705FD"/>
    <w:rsid w:val="00D70956"/>
    <w:rsid w:val="00D70A8F"/>
    <w:rsid w:val="00D70D3E"/>
    <w:rsid w:val="00D70E4C"/>
    <w:rsid w:val="00D71045"/>
    <w:rsid w:val="00D713F7"/>
    <w:rsid w:val="00D72657"/>
    <w:rsid w:val="00D72751"/>
    <w:rsid w:val="00D72A0D"/>
    <w:rsid w:val="00D72F88"/>
    <w:rsid w:val="00D73A65"/>
    <w:rsid w:val="00D740B8"/>
    <w:rsid w:val="00D74253"/>
    <w:rsid w:val="00D74A8E"/>
    <w:rsid w:val="00D74E77"/>
    <w:rsid w:val="00D7558E"/>
    <w:rsid w:val="00D755A2"/>
    <w:rsid w:val="00D7564E"/>
    <w:rsid w:val="00D75AF2"/>
    <w:rsid w:val="00D75F59"/>
    <w:rsid w:val="00D767FF"/>
    <w:rsid w:val="00D76880"/>
    <w:rsid w:val="00D768CF"/>
    <w:rsid w:val="00D76935"/>
    <w:rsid w:val="00D76B3C"/>
    <w:rsid w:val="00D76D98"/>
    <w:rsid w:val="00D76DDA"/>
    <w:rsid w:val="00D76F6D"/>
    <w:rsid w:val="00D76F6E"/>
    <w:rsid w:val="00D7715D"/>
    <w:rsid w:val="00D77339"/>
    <w:rsid w:val="00D77708"/>
    <w:rsid w:val="00D77E26"/>
    <w:rsid w:val="00D80475"/>
    <w:rsid w:val="00D8059A"/>
    <w:rsid w:val="00D80E2E"/>
    <w:rsid w:val="00D80E36"/>
    <w:rsid w:val="00D81382"/>
    <w:rsid w:val="00D817BE"/>
    <w:rsid w:val="00D81E55"/>
    <w:rsid w:val="00D8218F"/>
    <w:rsid w:val="00D82433"/>
    <w:rsid w:val="00D827B1"/>
    <w:rsid w:val="00D827EF"/>
    <w:rsid w:val="00D82A8B"/>
    <w:rsid w:val="00D82D71"/>
    <w:rsid w:val="00D82DE0"/>
    <w:rsid w:val="00D82E34"/>
    <w:rsid w:val="00D8356B"/>
    <w:rsid w:val="00D83679"/>
    <w:rsid w:val="00D8370B"/>
    <w:rsid w:val="00D839F9"/>
    <w:rsid w:val="00D83A2A"/>
    <w:rsid w:val="00D83BF3"/>
    <w:rsid w:val="00D83E7F"/>
    <w:rsid w:val="00D84021"/>
    <w:rsid w:val="00D84325"/>
    <w:rsid w:val="00D8463E"/>
    <w:rsid w:val="00D84FD5"/>
    <w:rsid w:val="00D851B1"/>
    <w:rsid w:val="00D85AA0"/>
    <w:rsid w:val="00D85D57"/>
    <w:rsid w:val="00D86063"/>
    <w:rsid w:val="00D868D2"/>
    <w:rsid w:val="00D86AA2"/>
    <w:rsid w:val="00D86B0E"/>
    <w:rsid w:val="00D86D63"/>
    <w:rsid w:val="00D87132"/>
    <w:rsid w:val="00D872FA"/>
    <w:rsid w:val="00D87709"/>
    <w:rsid w:val="00D879F7"/>
    <w:rsid w:val="00D87A0E"/>
    <w:rsid w:val="00D905EC"/>
    <w:rsid w:val="00D907F4"/>
    <w:rsid w:val="00D90BEB"/>
    <w:rsid w:val="00D90F1F"/>
    <w:rsid w:val="00D91119"/>
    <w:rsid w:val="00D91317"/>
    <w:rsid w:val="00D913C7"/>
    <w:rsid w:val="00D915A9"/>
    <w:rsid w:val="00D916D6"/>
    <w:rsid w:val="00D91C98"/>
    <w:rsid w:val="00D91F5F"/>
    <w:rsid w:val="00D92129"/>
    <w:rsid w:val="00D9279F"/>
    <w:rsid w:val="00D928DF"/>
    <w:rsid w:val="00D92FFB"/>
    <w:rsid w:val="00D93771"/>
    <w:rsid w:val="00D93972"/>
    <w:rsid w:val="00D941EF"/>
    <w:rsid w:val="00D94213"/>
    <w:rsid w:val="00D94381"/>
    <w:rsid w:val="00D9485A"/>
    <w:rsid w:val="00D95291"/>
    <w:rsid w:val="00D954F7"/>
    <w:rsid w:val="00D95E36"/>
    <w:rsid w:val="00D9632C"/>
    <w:rsid w:val="00D96355"/>
    <w:rsid w:val="00D9676B"/>
    <w:rsid w:val="00D96A4B"/>
    <w:rsid w:val="00D96F5D"/>
    <w:rsid w:val="00D97036"/>
    <w:rsid w:val="00D970E1"/>
    <w:rsid w:val="00D97985"/>
    <w:rsid w:val="00D97C92"/>
    <w:rsid w:val="00D97CA7"/>
    <w:rsid w:val="00DA0C17"/>
    <w:rsid w:val="00DA0CD0"/>
    <w:rsid w:val="00DA0D87"/>
    <w:rsid w:val="00DA0FE1"/>
    <w:rsid w:val="00DA11F1"/>
    <w:rsid w:val="00DA1691"/>
    <w:rsid w:val="00DA1873"/>
    <w:rsid w:val="00DA1F73"/>
    <w:rsid w:val="00DA2052"/>
    <w:rsid w:val="00DA2366"/>
    <w:rsid w:val="00DA253D"/>
    <w:rsid w:val="00DA266C"/>
    <w:rsid w:val="00DA2E1B"/>
    <w:rsid w:val="00DA2E45"/>
    <w:rsid w:val="00DA30AE"/>
    <w:rsid w:val="00DA34F8"/>
    <w:rsid w:val="00DA365B"/>
    <w:rsid w:val="00DA36F1"/>
    <w:rsid w:val="00DA37A4"/>
    <w:rsid w:val="00DA3900"/>
    <w:rsid w:val="00DA3C87"/>
    <w:rsid w:val="00DA42B9"/>
    <w:rsid w:val="00DA4D92"/>
    <w:rsid w:val="00DA4F04"/>
    <w:rsid w:val="00DA5624"/>
    <w:rsid w:val="00DA5655"/>
    <w:rsid w:val="00DA5979"/>
    <w:rsid w:val="00DA60D9"/>
    <w:rsid w:val="00DA6188"/>
    <w:rsid w:val="00DA6271"/>
    <w:rsid w:val="00DA6AAD"/>
    <w:rsid w:val="00DA6B1B"/>
    <w:rsid w:val="00DA7356"/>
    <w:rsid w:val="00DA74DC"/>
    <w:rsid w:val="00DA787D"/>
    <w:rsid w:val="00DA7E48"/>
    <w:rsid w:val="00DB0204"/>
    <w:rsid w:val="00DB0515"/>
    <w:rsid w:val="00DB08EB"/>
    <w:rsid w:val="00DB093E"/>
    <w:rsid w:val="00DB110D"/>
    <w:rsid w:val="00DB1117"/>
    <w:rsid w:val="00DB1694"/>
    <w:rsid w:val="00DB17B9"/>
    <w:rsid w:val="00DB1ADC"/>
    <w:rsid w:val="00DB1DEF"/>
    <w:rsid w:val="00DB2296"/>
    <w:rsid w:val="00DB2522"/>
    <w:rsid w:val="00DB2672"/>
    <w:rsid w:val="00DB30A6"/>
    <w:rsid w:val="00DB346D"/>
    <w:rsid w:val="00DB3547"/>
    <w:rsid w:val="00DB3A4F"/>
    <w:rsid w:val="00DB3C26"/>
    <w:rsid w:val="00DB3D18"/>
    <w:rsid w:val="00DB3F01"/>
    <w:rsid w:val="00DB4143"/>
    <w:rsid w:val="00DB43E3"/>
    <w:rsid w:val="00DB46D9"/>
    <w:rsid w:val="00DB4812"/>
    <w:rsid w:val="00DB4946"/>
    <w:rsid w:val="00DB4D1C"/>
    <w:rsid w:val="00DB4DD0"/>
    <w:rsid w:val="00DB4ECD"/>
    <w:rsid w:val="00DB5528"/>
    <w:rsid w:val="00DB5C4B"/>
    <w:rsid w:val="00DB5CE7"/>
    <w:rsid w:val="00DB5D06"/>
    <w:rsid w:val="00DB5D8A"/>
    <w:rsid w:val="00DB6177"/>
    <w:rsid w:val="00DB635D"/>
    <w:rsid w:val="00DB6736"/>
    <w:rsid w:val="00DB69FE"/>
    <w:rsid w:val="00DB6A68"/>
    <w:rsid w:val="00DB6B85"/>
    <w:rsid w:val="00DB6C0A"/>
    <w:rsid w:val="00DB6D41"/>
    <w:rsid w:val="00DB6DD0"/>
    <w:rsid w:val="00DB6F5D"/>
    <w:rsid w:val="00DB7165"/>
    <w:rsid w:val="00DB717A"/>
    <w:rsid w:val="00DB77DE"/>
    <w:rsid w:val="00DB7D71"/>
    <w:rsid w:val="00DC07AE"/>
    <w:rsid w:val="00DC1693"/>
    <w:rsid w:val="00DC1770"/>
    <w:rsid w:val="00DC18BA"/>
    <w:rsid w:val="00DC199C"/>
    <w:rsid w:val="00DC1C12"/>
    <w:rsid w:val="00DC1F7E"/>
    <w:rsid w:val="00DC2229"/>
    <w:rsid w:val="00DC227B"/>
    <w:rsid w:val="00DC231B"/>
    <w:rsid w:val="00DC2D4E"/>
    <w:rsid w:val="00DC2F22"/>
    <w:rsid w:val="00DC3662"/>
    <w:rsid w:val="00DC534F"/>
    <w:rsid w:val="00DC58CA"/>
    <w:rsid w:val="00DC5F94"/>
    <w:rsid w:val="00DC6027"/>
    <w:rsid w:val="00DC6527"/>
    <w:rsid w:val="00DC7053"/>
    <w:rsid w:val="00DC7066"/>
    <w:rsid w:val="00DC7531"/>
    <w:rsid w:val="00DC7F97"/>
    <w:rsid w:val="00DD00D7"/>
    <w:rsid w:val="00DD018D"/>
    <w:rsid w:val="00DD01D1"/>
    <w:rsid w:val="00DD043B"/>
    <w:rsid w:val="00DD06F0"/>
    <w:rsid w:val="00DD0B2B"/>
    <w:rsid w:val="00DD130E"/>
    <w:rsid w:val="00DD1504"/>
    <w:rsid w:val="00DD1B23"/>
    <w:rsid w:val="00DD1CD3"/>
    <w:rsid w:val="00DD22C1"/>
    <w:rsid w:val="00DD2889"/>
    <w:rsid w:val="00DD2BAF"/>
    <w:rsid w:val="00DD2BC5"/>
    <w:rsid w:val="00DD2C70"/>
    <w:rsid w:val="00DD2E6C"/>
    <w:rsid w:val="00DD339E"/>
    <w:rsid w:val="00DD3C9C"/>
    <w:rsid w:val="00DD52E0"/>
    <w:rsid w:val="00DD5336"/>
    <w:rsid w:val="00DD5592"/>
    <w:rsid w:val="00DD5833"/>
    <w:rsid w:val="00DD6E69"/>
    <w:rsid w:val="00DD704E"/>
    <w:rsid w:val="00DD7159"/>
    <w:rsid w:val="00DD7A31"/>
    <w:rsid w:val="00DD7E50"/>
    <w:rsid w:val="00DE0257"/>
    <w:rsid w:val="00DE0A6B"/>
    <w:rsid w:val="00DE10E5"/>
    <w:rsid w:val="00DE1484"/>
    <w:rsid w:val="00DE16A9"/>
    <w:rsid w:val="00DE17A4"/>
    <w:rsid w:val="00DE21B2"/>
    <w:rsid w:val="00DE2306"/>
    <w:rsid w:val="00DE2D20"/>
    <w:rsid w:val="00DE305D"/>
    <w:rsid w:val="00DE32A7"/>
    <w:rsid w:val="00DE362C"/>
    <w:rsid w:val="00DE36CA"/>
    <w:rsid w:val="00DE36F6"/>
    <w:rsid w:val="00DE3781"/>
    <w:rsid w:val="00DE3CAF"/>
    <w:rsid w:val="00DE3F22"/>
    <w:rsid w:val="00DE40D0"/>
    <w:rsid w:val="00DE4273"/>
    <w:rsid w:val="00DE447D"/>
    <w:rsid w:val="00DE4C31"/>
    <w:rsid w:val="00DE4D40"/>
    <w:rsid w:val="00DE578D"/>
    <w:rsid w:val="00DE5863"/>
    <w:rsid w:val="00DE58D8"/>
    <w:rsid w:val="00DE5FD2"/>
    <w:rsid w:val="00DE63C0"/>
    <w:rsid w:val="00DE63F3"/>
    <w:rsid w:val="00DE652E"/>
    <w:rsid w:val="00DE6842"/>
    <w:rsid w:val="00DF024A"/>
    <w:rsid w:val="00DF0287"/>
    <w:rsid w:val="00DF046E"/>
    <w:rsid w:val="00DF04ED"/>
    <w:rsid w:val="00DF082D"/>
    <w:rsid w:val="00DF0F1B"/>
    <w:rsid w:val="00DF0FAA"/>
    <w:rsid w:val="00DF10AF"/>
    <w:rsid w:val="00DF112F"/>
    <w:rsid w:val="00DF1349"/>
    <w:rsid w:val="00DF1894"/>
    <w:rsid w:val="00DF19E7"/>
    <w:rsid w:val="00DF1EDB"/>
    <w:rsid w:val="00DF20C0"/>
    <w:rsid w:val="00DF30B4"/>
    <w:rsid w:val="00DF3249"/>
    <w:rsid w:val="00DF331A"/>
    <w:rsid w:val="00DF33BE"/>
    <w:rsid w:val="00DF3800"/>
    <w:rsid w:val="00DF3949"/>
    <w:rsid w:val="00DF3B78"/>
    <w:rsid w:val="00DF3FE3"/>
    <w:rsid w:val="00DF446F"/>
    <w:rsid w:val="00DF44DA"/>
    <w:rsid w:val="00DF517A"/>
    <w:rsid w:val="00DF54F5"/>
    <w:rsid w:val="00DF56C7"/>
    <w:rsid w:val="00DF63D4"/>
    <w:rsid w:val="00DF6A76"/>
    <w:rsid w:val="00DF6A9B"/>
    <w:rsid w:val="00DF79A4"/>
    <w:rsid w:val="00DF7A5E"/>
    <w:rsid w:val="00DF7E3D"/>
    <w:rsid w:val="00E009A6"/>
    <w:rsid w:val="00E013A8"/>
    <w:rsid w:val="00E018A1"/>
    <w:rsid w:val="00E01E19"/>
    <w:rsid w:val="00E01FCC"/>
    <w:rsid w:val="00E025CC"/>
    <w:rsid w:val="00E02B7B"/>
    <w:rsid w:val="00E02C26"/>
    <w:rsid w:val="00E02F62"/>
    <w:rsid w:val="00E0351F"/>
    <w:rsid w:val="00E037D4"/>
    <w:rsid w:val="00E03977"/>
    <w:rsid w:val="00E03A93"/>
    <w:rsid w:val="00E03F75"/>
    <w:rsid w:val="00E03FAA"/>
    <w:rsid w:val="00E040A9"/>
    <w:rsid w:val="00E04F04"/>
    <w:rsid w:val="00E050E8"/>
    <w:rsid w:val="00E051EF"/>
    <w:rsid w:val="00E05251"/>
    <w:rsid w:val="00E0526C"/>
    <w:rsid w:val="00E05503"/>
    <w:rsid w:val="00E05B96"/>
    <w:rsid w:val="00E05E01"/>
    <w:rsid w:val="00E05E6C"/>
    <w:rsid w:val="00E06C58"/>
    <w:rsid w:val="00E06FC5"/>
    <w:rsid w:val="00E0721B"/>
    <w:rsid w:val="00E072F9"/>
    <w:rsid w:val="00E07C9C"/>
    <w:rsid w:val="00E100DF"/>
    <w:rsid w:val="00E11160"/>
    <w:rsid w:val="00E118BE"/>
    <w:rsid w:val="00E11BE3"/>
    <w:rsid w:val="00E12500"/>
    <w:rsid w:val="00E12858"/>
    <w:rsid w:val="00E12DCD"/>
    <w:rsid w:val="00E12FF3"/>
    <w:rsid w:val="00E134F3"/>
    <w:rsid w:val="00E13ADA"/>
    <w:rsid w:val="00E1400E"/>
    <w:rsid w:val="00E141CC"/>
    <w:rsid w:val="00E14814"/>
    <w:rsid w:val="00E14A65"/>
    <w:rsid w:val="00E14C3D"/>
    <w:rsid w:val="00E14CED"/>
    <w:rsid w:val="00E15832"/>
    <w:rsid w:val="00E15F1F"/>
    <w:rsid w:val="00E1623B"/>
    <w:rsid w:val="00E16B33"/>
    <w:rsid w:val="00E16D11"/>
    <w:rsid w:val="00E16D66"/>
    <w:rsid w:val="00E171F1"/>
    <w:rsid w:val="00E17868"/>
    <w:rsid w:val="00E17880"/>
    <w:rsid w:val="00E17DC6"/>
    <w:rsid w:val="00E206C4"/>
    <w:rsid w:val="00E20A89"/>
    <w:rsid w:val="00E20BB7"/>
    <w:rsid w:val="00E20FCE"/>
    <w:rsid w:val="00E211EC"/>
    <w:rsid w:val="00E212CB"/>
    <w:rsid w:val="00E214FB"/>
    <w:rsid w:val="00E21963"/>
    <w:rsid w:val="00E2226C"/>
    <w:rsid w:val="00E2232C"/>
    <w:rsid w:val="00E22644"/>
    <w:rsid w:val="00E22E59"/>
    <w:rsid w:val="00E233B8"/>
    <w:rsid w:val="00E236C7"/>
    <w:rsid w:val="00E237A0"/>
    <w:rsid w:val="00E238EA"/>
    <w:rsid w:val="00E2391F"/>
    <w:rsid w:val="00E23DED"/>
    <w:rsid w:val="00E23F0F"/>
    <w:rsid w:val="00E24128"/>
    <w:rsid w:val="00E24562"/>
    <w:rsid w:val="00E24671"/>
    <w:rsid w:val="00E249EA"/>
    <w:rsid w:val="00E24C18"/>
    <w:rsid w:val="00E2533C"/>
    <w:rsid w:val="00E254E8"/>
    <w:rsid w:val="00E254F3"/>
    <w:rsid w:val="00E2551F"/>
    <w:rsid w:val="00E258BE"/>
    <w:rsid w:val="00E26368"/>
    <w:rsid w:val="00E265D9"/>
    <w:rsid w:val="00E269E5"/>
    <w:rsid w:val="00E26DA7"/>
    <w:rsid w:val="00E26F76"/>
    <w:rsid w:val="00E2727D"/>
    <w:rsid w:val="00E27395"/>
    <w:rsid w:val="00E274E5"/>
    <w:rsid w:val="00E27593"/>
    <w:rsid w:val="00E27D0F"/>
    <w:rsid w:val="00E301F1"/>
    <w:rsid w:val="00E30373"/>
    <w:rsid w:val="00E306D4"/>
    <w:rsid w:val="00E30EEA"/>
    <w:rsid w:val="00E30F7A"/>
    <w:rsid w:val="00E31078"/>
    <w:rsid w:val="00E3132F"/>
    <w:rsid w:val="00E31E4B"/>
    <w:rsid w:val="00E325A2"/>
    <w:rsid w:val="00E3278D"/>
    <w:rsid w:val="00E32AF0"/>
    <w:rsid w:val="00E32C84"/>
    <w:rsid w:val="00E32CC0"/>
    <w:rsid w:val="00E32D17"/>
    <w:rsid w:val="00E32EEC"/>
    <w:rsid w:val="00E32F78"/>
    <w:rsid w:val="00E32F8F"/>
    <w:rsid w:val="00E3305C"/>
    <w:rsid w:val="00E338A9"/>
    <w:rsid w:val="00E33AA4"/>
    <w:rsid w:val="00E341FA"/>
    <w:rsid w:val="00E34292"/>
    <w:rsid w:val="00E348BA"/>
    <w:rsid w:val="00E34B79"/>
    <w:rsid w:val="00E3531A"/>
    <w:rsid w:val="00E3541D"/>
    <w:rsid w:val="00E355E5"/>
    <w:rsid w:val="00E357B0"/>
    <w:rsid w:val="00E35979"/>
    <w:rsid w:val="00E359C2"/>
    <w:rsid w:val="00E35A26"/>
    <w:rsid w:val="00E35D94"/>
    <w:rsid w:val="00E36156"/>
    <w:rsid w:val="00E362F9"/>
    <w:rsid w:val="00E368A1"/>
    <w:rsid w:val="00E36DDA"/>
    <w:rsid w:val="00E371FC"/>
    <w:rsid w:val="00E37275"/>
    <w:rsid w:val="00E379EF"/>
    <w:rsid w:val="00E37C33"/>
    <w:rsid w:val="00E37C45"/>
    <w:rsid w:val="00E4004B"/>
    <w:rsid w:val="00E400D6"/>
    <w:rsid w:val="00E401A9"/>
    <w:rsid w:val="00E40542"/>
    <w:rsid w:val="00E417A8"/>
    <w:rsid w:val="00E418AC"/>
    <w:rsid w:val="00E420F6"/>
    <w:rsid w:val="00E42163"/>
    <w:rsid w:val="00E42687"/>
    <w:rsid w:val="00E4272D"/>
    <w:rsid w:val="00E42A08"/>
    <w:rsid w:val="00E42A8E"/>
    <w:rsid w:val="00E43842"/>
    <w:rsid w:val="00E438E1"/>
    <w:rsid w:val="00E43B28"/>
    <w:rsid w:val="00E43C53"/>
    <w:rsid w:val="00E43E51"/>
    <w:rsid w:val="00E43E99"/>
    <w:rsid w:val="00E447A1"/>
    <w:rsid w:val="00E44BF1"/>
    <w:rsid w:val="00E45598"/>
    <w:rsid w:val="00E45A42"/>
    <w:rsid w:val="00E45E8D"/>
    <w:rsid w:val="00E45F53"/>
    <w:rsid w:val="00E45F6B"/>
    <w:rsid w:val="00E46225"/>
    <w:rsid w:val="00E464D5"/>
    <w:rsid w:val="00E46737"/>
    <w:rsid w:val="00E468DA"/>
    <w:rsid w:val="00E46E7C"/>
    <w:rsid w:val="00E470F8"/>
    <w:rsid w:val="00E475EE"/>
    <w:rsid w:val="00E47640"/>
    <w:rsid w:val="00E50108"/>
    <w:rsid w:val="00E5089E"/>
    <w:rsid w:val="00E509C9"/>
    <w:rsid w:val="00E50A11"/>
    <w:rsid w:val="00E50A88"/>
    <w:rsid w:val="00E50C55"/>
    <w:rsid w:val="00E50C78"/>
    <w:rsid w:val="00E511F4"/>
    <w:rsid w:val="00E51231"/>
    <w:rsid w:val="00E51B94"/>
    <w:rsid w:val="00E51BAC"/>
    <w:rsid w:val="00E51F46"/>
    <w:rsid w:val="00E52464"/>
    <w:rsid w:val="00E52505"/>
    <w:rsid w:val="00E5276B"/>
    <w:rsid w:val="00E528FE"/>
    <w:rsid w:val="00E529F7"/>
    <w:rsid w:val="00E53185"/>
    <w:rsid w:val="00E531B0"/>
    <w:rsid w:val="00E541FB"/>
    <w:rsid w:val="00E54616"/>
    <w:rsid w:val="00E54783"/>
    <w:rsid w:val="00E54C38"/>
    <w:rsid w:val="00E54DF6"/>
    <w:rsid w:val="00E54E0C"/>
    <w:rsid w:val="00E54FAE"/>
    <w:rsid w:val="00E55554"/>
    <w:rsid w:val="00E55C06"/>
    <w:rsid w:val="00E5638A"/>
    <w:rsid w:val="00E564D7"/>
    <w:rsid w:val="00E56669"/>
    <w:rsid w:val="00E56DA7"/>
    <w:rsid w:val="00E575A5"/>
    <w:rsid w:val="00E5766D"/>
    <w:rsid w:val="00E577F9"/>
    <w:rsid w:val="00E57889"/>
    <w:rsid w:val="00E57B78"/>
    <w:rsid w:val="00E57DD7"/>
    <w:rsid w:val="00E57E3D"/>
    <w:rsid w:val="00E57E9F"/>
    <w:rsid w:val="00E60074"/>
    <w:rsid w:val="00E604C9"/>
    <w:rsid w:val="00E60561"/>
    <w:rsid w:val="00E60A7B"/>
    <w:rsid w:val="00E60B97"/>
    <w:rsid w:val="00E60CA8"/>
    <w:rsid w:val="00E61086"/>
    <w:rsid w:val="00E61341"/>
    <w:rsid w:val="00E61675"/>
    <w:rsid w:val="00E619AF"/>
    <w:rsid w:val="00E61C1C"/>
    <w:rsid w:val="00E62F6D"/>
    <w:rsid w:val="00E6316A"/>
    <w:rsid w:val="00E63733"/>
    <w:rsid w:val="00E63EC6"/>
    <w:rsid w:val="00E643B1"/>
    <w:rsid w:val="00E64432"/>
    <w:rsid w:val="00E648A7"/>
    <w:rsid w:val="00E649D9"/>
    <w:rsid w:val="00E6500D"/>
    <w:rsid w:val="00E652E0"/>
    <w:rsid w:val="00E65433"/>
    <w:rsid w:val="00E65645"/>
    <w:rsid w:val="00E65943"/>
    <w:rsid w:val="00E65B86"/>
    <w:rsid w:val="00E65EF3"/>
    <w:rsid w:val="00E661AF"/>
    <w:rsid w:val="00E665FC"/>
    <w:rsid w:val="00E6692B"/>
    <w:rsid w:val="00E66979"/>
    <w:rsid w:val="00E66AB8"/>
    <w:rsid w:val="00E672B2"/>
    <w:rsid w:val="00E673CF"/>
    <w:rsid w:val="00E67E73"/>
    <w:rsid w:val="00E67F25"/>
    <w:rsid w:val="00E70192"/>
    <w:rsid w:val="00E70D51"/>
    <w:rsid w:val="00E7190F"/>
    <w:rsid w:val="00E7200C"/>
    <w:rsid w:val="00E7229A"/>
    <w:rsid w:val="00E72679"/>
    <w:rsid w:val="00E72888"/>
    <w:rsid w:val="00E729A3"/>
    <w:rsid w:val="00E72A22"/>
    <w:rsid w:val="00E72A79"/>
    <w:rsid w:val="00E72CFB"/>
    <w:rsid w:val="00E7305D"/>
    <w:rsid w:val="00E736EE"/>
    <w:rsid w:val="00E737F4"/>
    <w:rsid w:val="00E73872"/>
    <w:rsid w:val="00E73D01"/>
    <w:rsid w:val="00E73DDB"/>
    <w:rsid w:val="00E741C9"/>
    <w:rsid w:val="00E74B9F"/>
    <w:rsid w:val="00E74BB8"/>
    <w:rsid w:val="00E74FE5"/>
    <w:rsid w:val="00E7561F"/>
    <w:rsid w:val="00E75A7C"/>
    <w:rsid w:val="00E75BD6"/>
    <w:rsid w:val="00E761D6"/>
    <w:rsid w:val="00E76233"/>
    <w:rsid w:val="00E763EA"/>
    <w:rsid w:val="00E76586"/>
    <w:rsid w:val="00E76918"/>
    <w:rsid w:val="00E76C12"/>
    <w:rsid w:val="00E8030F"/>
    <w:rsid w:val="00E80438"/>
    <w:rsid w:val="00E80DEB"/>
    <w:rsid w:val="00E80EFB"/>
    <w:rsid w:val="00E81159"/>
    <w:rsid w:val="00E813A4"/>
    <w:rsid w:val="00E81973"/>
    <w:rsid w:val="00E81B9A"/>
    <w:rsid w:val="00E81C3A"/>
    <w:rsid w:val="00E81C6F"/>
    <w:rsid w:val="00E82828"/>
    <w:rsid w:val="00E8285F"/>
    <w:rsid w:val="00E82B69"/>
    <w:rsid w:val="00E83588"/>
    <w:rsid w:val="00E83707"/>
    <w:rsid w:val="00E83874"/>
    <w:rsid w:val="00E83FF3"/>
    <w:rsid w:val="00E84998"/>
    <w:rsid w:val="00E849EB"/>
    <w:rsid w:val="00E84E01"/>
    <w:rsid w:val="00E85231"/>
    <w:rsid w:val="00E85379"/>
    <w:rsid w:val="00E853D6"/>
    <w:rsid w:val="00E853FB"/>
    <w:rsid w:val="00E854CB"/>
    <w:rsid w:val="00E8592D"/>
    <w:rsid w:val="00E85AE4"/>
    <w:rsid w:val="00E861B6"/>
    <w:rsid w:val="00E86595"/>
    <w:rsid w:val="00E86ACA"/>
    <w:rsid w:val="00E86C4C"/>
    <w:rsid w:val="00E86E9E"/>
    <w:rsid w:val="00E874DF"/>
    <w:rsid w:val="00E87931"/>
    <w:rsid w:val="00E87B50"/>
    <w:rsid w:val="00E87C2E"/>
    <w:rsid w:val="00E901A0"/>
    <w:rsid w:val="00E90C84"/>
    <w:rsid w:val="00E910E9"/>
    <w:rsid w:val="00E910ED"/>
    <w:rsid w:val="00E91E1D"/>
    <w:rsid w:val="00E91E24"/>
    <w:rsid w:val="00E91E32"/>
    <w:rsid w:val="00E92199"/>
    <w:rsid w:val="00E92510"/>
    <w:rsid w:val="00E925B4"/>
    <w:rsid w:val="00E9264E"/>
    <w:rsid w:val="00E92B5C"/>
    <w:rsid w:val="00E93469"/>
    <w:rsid w:val="00E9386C"/>
    <w:rsid w:val="00E941EA"/>
    <w:rsid w:val="00E94219"/>
    <w:rsid w:val="00E943E2"/>
    <w:rsid w:val="00E9476E"/>
    <w:rsid w:val="00E94893"/>
    <w:rsid w:val="00E95446"/>
    <w:rsid w:val="00E9596F"/>
    <w:rsid w:val="00E95C5B"/>
    <w:rsid w:val="00E964AB"/>
    <w:rsid w:val="00E96A58"/>
    <w:rsid w:val="00E96CC7"/>
    <w:rsid w:val="00E96D2A"/>
    <w:rsid w:val="00E97496"/>
    <w:rsid w:val="00E975F4"/>
    <w:rsid w:val="00E97694"/>
    <w:rsid w:val="00E97804"/>
    <w:rsid w:val="00E97A28"/>
    <w:rsid w:val="00E97FAB"/>
    <w:rsid w:val="00EA0921"/>
    <w:rsid w:val="00EA0CF1"/>
    <w:rsid w:val="00EA0D36"/>
    <w:rsid w:val="00EA0DDE"/>
    <w:rsid w:val="00EA104D"/>
    <w:rsid w:val="00EA14DD"/>
    <w:rsid w:val="00EA1837"/>
    <w:rsid w:val="00EA1AE9"/>
    <w:rsid w:val="00EA21C8"/>
    <w:rsid w:val="00EA23BE"/>
    <w:rsid w:val="00EA287E"/>
    <w:rsid w:val="00EA28AE"/>
    <w:rsid w:val="00EA2BB1"/>
    <w:rsid w:val="00EA2BDD"/>
    <w:rsid w:val="00EA2EF3"/>
    <w:rsid w:val="00EA37C8"/>
    <w:rsid w:val="00EA3A51"/>
    <w:rsid w:val="00EA3D23"/>
    <w:rsid w:val="00EA42FD"/>
    <w:rsid w:val="00EA46D9"/>
    <w:rsid w:val="00EA5009"/>
    <w:rsid w:val="00EA5043"/>
    <w:rsid w:val="00EA5BA8"/>
    <w:rsid w:val="00EA5DCB"/>
    <w:rsid w:val="00EA60EA"/>
    <w:rsid w:val="00EA60F0"/>
    <w:rsid w:val="00EA713C"/>
    <w:rsid w:val="00EA740F"/>
    <w:rsid w:val="00EA768F"/>
    <w:rsid w:val="00EA777F"/>
    <w:rsid w:val="00EA7B58"/>
    <w:rsid w:val="00EA7FC4"/>
    <w:rsid w:val="00EB025D"/>
    <w:rsid w:val="00EB071E"/>
    <w:rsid w:val="00EB0B62"/>
    <w:rsid w:val="00EB0C5E"/>
    <w:rsid w:val="00EB0E07"/>
    <w:rsid w:val="00EB123E"/>
    <w:rsid w:val="00EB1700"/>
    <w:rsid w:val="00EB17AA"/>
    <w:rsid w:val="00EB19B0"/>
    <w:rsid w:val="00EB1EF2"/>
    <w:rsid w:val="00EB205B"/>
    <w:rsid w:val="00EB21F3"/>
    <w:rsid w:val="00EB25C8"/>
    <w:rsid w:val="00EB274F"/>
    <w:rsid w:val="00EB2E5A"/>
    <w:rsid w:val="00EB3148"/>
    <w:rsid w:val="00EB3365"/>
    <w:rsid w:val="00EB37C2"/>
    <w:rsid w:val="00EB397A"/>
    <w:rsid w:val="00EB39ED"/>
    <w:rsid w:val="00EB3A2A"/>
    <w:rsid w:val="00EB3D22"/>
    <w:rsid w:val="00EB3D78"/>
    <w:rsid w:val="00EB3EBC"/>
    <w:rsid w:val="00EB499A"/>
    <w:rsid w:val="00EB49A4"/>
    <w:rsid w:val="00EB4D08"/>
    <w:rsid w:val="00EB4EC2"/>
    <w:rsid w:val="00EB5242"/>
    <w:rsid w:val="00EB560C"/>
    <w:rsid w:val="00EB5778"/>
    <w:rsid w:val="00EB5D80"/>
    <w:rsid w:val="00EB6088"/>
    <w:rsid w:val="00EB62E6"/>
    <w:rsid w:val="00EB62EE"/>
    <w:rsid w:val="00EB635B"/>
    <w:rsid w:val="00EB6461"/>
    <w:rsid w:val="00EB664D"/>
    <w:rsid w:val="00EB6C1F"/>
    <w:rsid w:val="00EB71F0"/>
    <w:rsid w:val="00EB7773"/>
    <w:rsid w:val="00EB7966"/>
    <w:rsid w:val="00EB79A9"/>
    <w:rsid w:val="00EB7A0C"/>
    <w:rsid w:val="00EB7B44"/>
    <w:rsid w:val="00EC016C"/>
    <w:rsid w:val="00EC022F"/>
    <w:rsid w:val="00EC0264"/>
    <w:rsid w:val="00EC031B"/>
    <w:rsid w:val="00EC0450"/>
    <w:rsid w:val="00EC0478"/>
    <w:rsid w:val="00EC0666"/>
    <w:rsid w:val="00EC0A43"/>
    <w:rsid w:val="00EC0E71"/>
    <w:rsid w:val="00EC0F0A"/>
    <w:rsid w:val="00EC1C1C"/>
    <w:rsid w:val="00EC243E"/>
    <w:rsid w:val="00EC2AAD"/>
    <w:rsid w:val="00EC2D2B"/>
    <w:rsid w:val="00EC34B9"/>
    <w:rsid w:val="00EC36DC"/>
    <w:rsid w:val="00EC3F5F"/>
    <w:rsid w:val="00EC3F74"/>
    <w:rsid w:val="00EC4029"/>
    <w:rsid w:val="00EC419B"/>
    <w:rsid w:val="00EC426B"/>
    <w:rsid w:val="00EC42AE"/>
    <w:rsid w:val="00EC4392"/>
    <w:rsid w:val="00EC4953"/>
    <w:rsid w:val="00EC4A92"/>
    <w:rsid w:val="00EC4C4E"/>
    <w:rsid w:val="00EC4DEC"/>
    <w:rsid w:val="00EC53AE"/>
    <w:rsid w:val="00EC5713"/>
    <w:rsid w:val="00EC5923"/>
    <w:rsid w:val="00EC6C79"/>
    <w:rsid w:val="00EC6F3D"/>
    <w:rsid w:val="00EC71AE"/>
    <w:rsid w:val="00EC71B2"/>
    <w:rsid w:val="00EC73DF"/>
    <w:rsid w:val="00EC7519"/>
    <w:rsid w:val="00EC7554"/>
    <w:rsid w:val="00EC7750"/>
    <w:rsid w:val="00EC7A67"/>
    <w:rsid w:val="00EC7BA7"/>
    <w:rsid w:val="00ED005B"/>
    <w:rsid w:val="00ED03C8"/>
    <w:rsid w:val="00ED0C9B"/>
    <w:rsid w:val="00ED0FBA"/>
    <w:rsid w:val="00ED130A"/>
    <w:rsid w:val="00ED1422"/>
    <w:rsid w:val="00ED1B15"/>
    <w:rsid w:val="00ED1BB7"/>
    <w:rsid w:val="00ED1E53"/>
    <w:rsid w:val="00ED1EE8"/>
    <w:rsid w:val="00ED1F22"/>
    <w:rsid w:val="00ED21CB"/>
    <w:rsid w:val="00ED234A"/>
    <w:rsid w:val="00ED24F7"/>
    <w:rsid w:val="00ED263B"/>
    <w:rsid w:val="00ED36AA"/>
    <w:rsid w:val="00ED3776"/>
    <w:rsid w:val="00ED3E7E"/>
    <w:rsid w:val="00ED40EB"/>
    <w:rsid w:val="00ED457D"/>
    <w:rsid w:val="00ED4715"/>
    <w:rsid w:val="00ED4849"/>
    <w:rsid w:val="00ED4DC3"/>
    <w:rsid w:val="00ED53DE"/>
    <w:rsid w:val="00ED5826"/>
    <w:rsid w:val="00ED5915"/>
    <w:rsid w:val="00ED5A04"/>
    <w:rsid w:val="00ED61D6"/>
    <w:rsid w:val="00ED669F"/>
    <w:rsid w:val="00ED6A47"/>
    <w:rsid w:val="00ED6B03"/>
    <w:rsid w:val="00ED6C6A"/>
    <w:rsid w:val="00ED7670"/>
    <w:rsid w:val="00ED7E70"/>
    <w:rsid w:val="00EE0118"/>
    <w:rsid w:val="00EE05AC"/>
    <w:rsid w:val="00EE0641"/>
    <w:rsid w:val="00EE092C"/>
    <w:rsid w:val="00EE1080"/>
    <w:rsid w:val="00EE1C5F"/>
    <w:rsid w:val="00EE1CB0"/>
    <w:rsid w:val="00EE226B"/>
    <w:rsid w:val="00EE2440"/>
    <w:rsid w:val="00EE2AB6"/>
    <w:rsid w:val="00EE2C96"/>
    <w:rsid w:val="00EE2DB4"/>
    <w:rsid w:val="00EE2FD4"/>
    <w:rsid w:val="00EE3CCE"/>
    <w:rsid w:val="00EE4F3B"/>
    <w:rsid w:val="00EE51BC"/>
    <w:rsid w:val="00EE51EC"/>
    <w:rsid w:val="00EE5244"/>
    <w:rsid w:val="00EE5325"/>
    <w:rsid w:val="00EE56CF"/>
    <w:rsid w:val="00EE5A92"/>
    <w:rsid w:val="00EE5B74"/>
    <w:rsid w:val="00EE60AE"/>
    <w:rsid w:val="00EE61BB"/>
    <w:rsid w:val="00EE640B"/>
    <w:rsid w:val="00EE6627"/>
    <w:rsid w:val="00EE68F4"/>
    <w:rsid w:val="00EE6F13"/>
    <w:rsid w:val="00EE74B6"/>
    <w:rsid w:val="00EF024B"/>
    <w:rsid w:val="00EF0469"/>
    <w:rsid w:val="00EF0C32"/>
    <w:rsid w:val="00EF141A"/>
    <w:rsid w:val="00EF154F"/>
    <w:rsid w:val="00EF18A9"/>
    <w:rsid w:val="00EF1928"/>
    <w:rsid w:val="00EF1FBE"/>
    <w:rsid w:val="00EF2497"/>
    <w:rsid w:val="00EF253B"/>
    <w:rsid w:val="00EF26A6"/>
    <w:rsid w:val="00EF27B0"/>
    <w:rsid w:val="00EF2ABD"/>
    <w:rsid w:val="00EF3282"/>
    <w:rsid w:val="00EF3679"/>
    <w:rsid w:val="00EF393B"/>
    <w:rsid w:val="00EF3D49"/>
    <w:rsid w:val="00EF4633"/>
    <w:rsid w:val="00EF476B"/>
    <w:rsid w:val="00EF4E0A"/>
    <w:rsid w:val="00EF5181"/>
    <w:rsid w:val="00EF54F4"/>
    <w:rsid w:val="00EF56CE"/>
    <w:rsid w:val="00EF5A7F"/>
    <w:rsid w:val="00EF5AA1"/>
    <w:rsid w:val="00EF5B9E"/>
    <w:rsid w:val="00EF5E36"/>
    <w:rsid w:val="00EF6073"/>
    <w:rsid w:val="00EF647C"/>
    <w:rsid w:val="00EF65FB"/>
    <w:rsid w:val="00EF6BE9"/>
    <w:rsid w:val="00EF6E4A"/>
    <w:rsid w:val="00EF71D8"/>
    <w:rsid w:val="00EF72B8"/>
    <w:rsid w:val="00EF787F"/>
    <w:rsid w:val="00EF7A8D"/>
    <w:rsid w:val="00F00492"/>
    <w:rsid w:val="00F0081A"/>
    <w:rsid w:val="00F008F6"/>
    <w:rsid w:val="00F008F7"/>
    <w:rsid w:val="00F00D71"/>
    <w:rsid w:val="00F01106"/>
    <w:rsid w:val="00F016BD"/>
    <w:rsid w:val="00F01CEB"/>
    <w:rsid w:val="00F01D04"/>
    <w:rsid w:val="00F01E69"/>
    <w:rsid w:val="00F01FE3"/>
    <w:rsid w:val="00F020E1"/>
    <w:rsid w:val="00F022A6"/>
    <w:rsid w:val="00F024C7"/>
    <w:rsid w:val="00F04446"/>
    <w:rsid w:val="00F045C5"/>
    <w:rsid w:val="00F04884"/>
    <w:rsid w:val="00F04A9D"/>
    <w:rsid w:val="00F04B90"/>
    <w:rsid w:val="00F04CF8"/>
    <w:rsid w:val="00F04FE7"/>
    <w:rsid w:val="00F050D5"/>
    <w:rsid w:val="00F053BB"/>
    <w:rsid w:val="00F05B2D"/>
    <w:rsid w:val="00F06525"/>
    <w:rsid w:val="00F071CB"/>
    <w:rsid w:val="00F071F1"/>
    <w:rsid w:val="00F10707"/>
    <w:rsid w:val="00F10C13"/>
    <w:rsid w:val="00F11182"/>
    <w:rsid w:val="00F1130B"/>
    <w:rsid w:val="00F119F6"/>
    <w:rsid w:val="00F11A73"/>
    <w:rsid w:val="00F11ECC"/>
    <w:rsid w:val="00F12205"/>
    <w:rsid w:val="00F125BE"/>
    <w:rsid w:val="00F12B37"/>
    <w:rsid w:val="00F12B5A"/>
    <w:rsid w:val="00F12F83"/>
    <w:rsid w:val="00F12FE3"/>
    <w:rsid w:val="00F13091"/>
    <w:rsid w:val="00F13202"/>
    <w:rsid w:val="00F13518"/>
    <w:rsid w:val="00F13C8A"/>
    <w:rsid w:val="00F14308"/>
    <w:rsid w:val="00F1446D"/>
    <w:rsid w:val="00F144FC"/>
    <w:rsid w:val="00F1481E"/>
    <w:rsid w:val="00F14B66"/>
    <w:rsid w:val="00F14C1B"/>
    <w:rsid w:val="00F14DED"/>
    <w:rsid w:val="00F155A3"/>
    <w:rsid w:val="00F159E6"/>
    <w:rsid w:val="00F169B9"/>
    <w:rsid w:val="00F16FDB"/>
    <w:rsid w:val="00F17539"/>
    <w:rsid w:val="00F1756D"/>
    <w:rsid w:val="00F175E0"/>
    <w:rsid w:val="00F1765D"/>
    <w:rsid w:val="00F17BA8"/>
    <w:rsid w:val="00F17C63"/>
    <w:rsid w:val="00F17D6D"/>
    <w:rsid w:val="00F20310"/>
    <w:rsid w:val="00F20373"/>
    <w:rsid w:val="00F20668"/>
    <w:rsid w:val="00F20AAC"/>
    <w:rsid w:val="00F20F82"/>
    <w:rsid w:val="00F21D04"/>
    <w:rsid w:val="00F21F22"/>
    <w:rsid w:val="00F2218E"/>
    <w:rsid w:val="00F224FC"/>
    <w:rsid w:val="00F225BB"/>
    <w:rsid w:val="00F22745"/>
    <w:rsid w:val="00F22E29"/>
    <w:rsid w:val="00F231C4"/>
    <w:rsid w:val="00F23715"/>
    <w:rsid w:val="00F23B9B"/>
    <w:rsid w:val="00F23EF8"/>
    <w:rsid w:val="00F24144"/>
    <w:rsid w:val="00F24494"/>
    <w:rsid w:val="00F2449E"/>
    <w:rsid w:val="00F2479A"/>
    <w:rsid w:val="00F24C41"/>
    <w:rsid w:val="00F25040"/>
    <w:rsid w:val="00F2511C"/>
    <w:rsid w:val="00F25538"/>
    <w:rsid w:val="00F25BCB"/>
    <w:rsid w:val="00F25F4B"/>
    <w:rsid w:val="00F25F6B"/>
    <w:rsid w:val="00F2600C"/>
    <w:rsid w:val="00F26384"/>
    <w:rsid w:val="00F26815"/>
    <w:rsid w:val="00F2681E"/>
    <w:rsid w:val="00F269D7"/>
    <w:rsid w:val="00F26F4A"/>
    <w:rsid w:val="00F2709C"/>
    <w:rsid w:val="00F2750B"/>
    <w:rsid w:val="00F27B19"/>
    <w:rsid w:val="00F27F2A"/>
    <w:rsid w:val="00F30010"/>
    <w:rsid w:val="00F3048B"/>
    <w:rsid w:val="00F3095E"/>
    <w:rsid w:val="00F30A74"/>
    <w:rsid w:val="00F30CFD"/>
    <w:rsid w:val="00F30D17"/>
    <w:rsid w:val="00F30EDE"/>
    <w:rsid w:val="00F31073"/>
    <w:rsid w:val="00F31305"/>
    <w:rsid w:val="00F32D17"/>
    <w:rsid w:val="00F3334C"/>
    <w:rsid w:val="00F334D5"/>
    <w:rsid w:val="00F338BC"/>
    <w:rsid w:val="00F33AF7"/>
    <w:rsid w:val="00F342E8"/>
    <w:rsid w:val="00F342FA"/>
    <w:rsid w:val="00F34645"/>
    <w:rsid w:val="00F346D9"/>
    <w:rsid w:val="00F34883"/>
    <w:rsid w:val="00F351C9"/>
    <w:rsid w:val="00F35E0F"/>
    <w:rsid w:val="00F36022"/>
    <w:rsid w:val="00F36781"/>
    <w:rsid w:val="00F36EAA"/>
    <w:rsid w:val="00F36FA3"/>
    <w:rsid w:val="00F37483"/>
    <w:rsid w:val="00F376D1"/>
    <w:rsid w:val="00F37DD6"/>
    <w:rsid w:val="00F4069A"/>
    <w:rsid w:val="00F40FCD"/>
    <w:rsid w:val="00F40FE2"/>
    <w:rsid w:val="00F41452"/>
    <w:rsid w:val="00F418E0"/>
    <w:rsid w:val="00F419F1"/>
    <w:rsid w:val="00F41AAD"/>
    <w:rsid w:val="00F41C31"/>
    <w:rsid w:val="00F41E50"/>
    <w:rsid w:val="00F421CF"/>
    <w:rsid w:val="00F42AAC"/>
    <w:rsid w:val="00F42AF6"/>
    <w:rsid w:val="00F42B9B"/>
    <w:rsid w:val="00F42FBA"/>
    <w:rsid w:val="00F43946"/>
    <w:rsid w:val="00F43A2F"/>
    <w:rsid w:val="00F43A51"/>
    <w:rsid w:val="00F43DA4"/>
    <w:rsid w:val="00F44220"/>
    <w:rsid w:val="00F448FF"/>
    <w:rsid w:val="00F44A76"/>
    <w:rsid w:val="00F44BB2"/>
    <w:rsid w:val="00F44DBA"/>
    <w:rsid w:val="00F44F16"/>
    <w:rsid w:val="00F4570C"/>
    <w:rsid w:val="00F457BD"/>
    <w:rsid w:val="00F45A6F"/>
    <w:rsid w:val="00F45B41"/>
    <w:rsid w:val="00F46050"/>
    <w:rsid w:val="00F46136"/>
    <w:rsid w:val="00F4640A"/>
    <w:rsid w:val="00F46584"/>
    <w:rsid w:val="00F46667"/>
    <w:rsid w:val="00F46A92"/>
    <w:rsid w:val="00F46BB3"/>
    <w:rsid w:val="00F50100"/>
    <w:rsid w:val="00F51B7C"/>
    <w:rsid w:val="00F51D72"/>
    <w:rsid w:val="00F53214"/>
    <w:rsid w:val="00F538DC"/>
    <w:rsid w:val="00F53DB0"/>
    <w:rsid w:val="00F540D2"/>
    <w:rsid w:val="00F54137"/>
    <w:rsid w:val="00F54885"/>
    <w:rsid w:val="00F549F2"/>
    <w:rsid w:val="00F54B74"/>
    <w:rsid w:val="00F55041"/>
    <w:rsid w:val="00F551F2"/>
    <w:rsid w:val="00F554EA"/>
    <w:rsid w:val="00F55F61"/>
    <w:rsid w:val="00F5650B"/>
    <w:rsid w:val="00F56AF2"/>
    <w:rsid w:val="00F56B47"/>
    <w:rsid w:val="00F56BFF"/>
    <w:rsid w:val="00F56F0D"/>
    <w:rsid w:val="00F57727"/>
    <w:rsid w:val="00F5790B"/>
    <w:rsid w:val="00F579F8"/>
    <w:rsid w:val="00F57AC0"/>
    <w:rsid w:val="00F603BE"/>
    <w:rsid w:val="00F603E6"/>
    <w:rsid w:val="00F605BD"/>
    <w:rsid w:val="00F60B16"/>
    <w:rsid w:val="00F60FA1"/>
    <w:rsid w:val="00F61568"/>
    <w:rsid w:val="00F61970"/>
    <w:rsid w:val="00F61E5C"/>
    <w:rsid w:val="00F61FCB"/>
    <w:rsid w:val="00F62ED6"/>
    <w:rsid w:val="00F630B8"/>
    <w:rsid w:val="00F63632"/>
    <w:rsid w:val="00F6374B"/>
    <w:rsid w:val="00F63DE4"/>
    <w:rsid w:val="00F64126"/>
    <w:rsid w:val="00F64938"/>
    <w:rsid w:val="00F64AE5"/>
    <w:rsid w:val="00F64B72"/>
    <w:rsid w:val="00F65180"/>
    <w:rsid w:val="00F653A5"/>
    <w:rsid w:val="00F6541A"/>
    <w:rsid w:val="00F6559B"/>
    <w:rsid w:val="00F6587C"/>
    <w:rsid w:val="00F659E2"/>
    <w:rsid w:val="00F666F2"/>
    <w:rsid w:val="00F6684F"/>
    <w:rsid w:val="00F66879"/>
    <w:rsid w:val="00F66881"/>
    <w:rsid w:val="00F668DD"/>
    <w:rsid w:val="00F668E1"/>
    <w:rsid w:val="00F66AA3"/>
    <w:rsid w:val="00F66E1F"/>
    <w:rsid w:val="00F67268"/>
    <w:rsid w:val="00F67E07"/>
    <w:rsid w:val="00F70016"/>
    <w:rsid w:val="00F702A6"/>
    <w:rsid w:val="00F70518"/>
    <w:rsid w:val="00F70577"/>
    <w:rsid w:val="00F717A7"/>
    <w:rsid w:val="00F71A53"/>
    <w:rsid w:val="00F7236E"/>
    <w:rsid w:val="00F72505"/>
    <w:rsid w:val="00F734C9"/>
    <w:rsid w:val="00F736AA"/>
    <w:rsid w:val="00F736DC"/>
    <w:rsid w:val="00F7387A"/>
    <w:rsid w:val="00F7405A"/>
    <w:rsid w:val="00F74401"/>
    <w:rsid w:val="00F744E4"/>
    <w:rsid w:val="00F74501"/>
    <w:rsid w:val="00F74A51"/>
    <w:rsid w:val="00F74EA5"/>
    <w:rsid w:val="00F74FBD"/>
    <w:rsid w:val="00F754E5"/>
    <w:rsid w:val="00F754E7"/>
    <w:rsid w:val="00F75A3A"/>
    <w:rsid w:val="00F776D1"/>
    <w:rsid w:val="00F77CA0"/>
    <w:rsid w:val="00F77CAF"/>
    <w:rsid w:val="00F77E17"/>
    <w:rsid w:val="00F77EE2"/>
    <w:rsid w:val="00F805E2"/>
    <w:rsid w:val="00F808CC"/>
    <w:rsid w:val="00F808E7"/>
    <w:rsid w:val="00F80C1E"/>
    <w:rsid w:val="00F80DC9"/>
    <w:rsid w:val="00F8133C"/>
    <w:rsid w:val="00F814E2"/>
    <w:rsid w:val="00F81A58"/>
    <w:rsid w:val="00F81B2C"/>
    <w:rsid w:val="00F81EAC"/>
    <w:rsid w:val="00F82BDC"/>
    <w:rsid w:val="00F82E5B"/>
    <w:rsid w:val="00F82EA3"/>
    <w:rsid w:val="00F83754"/>
    <w:rsid w:val="00F83CA3"/>
    <w:rsid w:val="00F840BF"/>
    <w:rsid w:val="00F846F9"/>
    <w:rsid w:val="00F858B5"/>
    <w:rsid w:val="00F8615E"/>
    <w:rsid w:val="00F86370"/>
    <w:rsid w:val="00F86779"/>
    <w:rsid w:val="00F86825"/>
    <w:rsid w:val="00F8696A"/>
    <w:rsid w:val="00F86B2A"/>
    <w:rsid w:val="00F874CC"/>
    <w:rsid w:val="00F87B38"/>
    <w:rsid w:val="00F90118"/>
    <w:rsid w:val="00F90195"/>
    <w:rsid w:val="00F906A1"/>
    <w:rsid w:val="00F908CA"/>
    <w:rsid w:val="00F90C60"/>
    <w:rsid w:val="00F91175"/>
    <w:rsid w:val="00F912FD"/>
    <w:rsid w:val="00F91CA2"/>
    <w:rsid w:val="00F92887"/>
    <w:rsid w:val="00F92AC1"/>
    <w:rsid w:val="00F92CC7"/>
    <w:rsid w:val="00F92FB1"/>
    <w:rsid w:val="00F932D1"/>
    <w:rsid w:val="00F9372C"/>
    <w:rsid w:val="00F93A2D"/>
    <w:rsid w:val="00F93E5A"/>
    <w:rsid w:val="00F94019"/>
    <w:rsid w:val="00F94241"/>
    <w:rsid w:val="00F944A6"/>
    <w:rsid w:val="00F94539"/>
    <w:rsid w:val="00F94812"/>
    <w:rsid w:val="00F95049"/>
    <w:rsid w:val="00F9578D"/>
    <w:rsid w:val="00F95A87"/>
    <w:rsid w:val="00F95B05"/>
    <w:rsid w:val="00F95B3A"/>
    <w:rsid w:val="00F95C6E"/>
    <w:rsid w:val="00F9607B"/>
    <w:rsid w:val="00F9655A"/>
    <w:rsid w:val="00F9664F"/>
    <w:rsid w:val="00F96979"/>
    <w:rsid w:val="00F96A22"/>
    <w:rsid w:val="00F97FEC"/>
    <w:rsid w:val="00FA01DF"/>
    <w:rsid w:val="00FA0699"/>
    <w:rsid w:val="00FA069F"/>
    <w:rsid w:val="00FA076A"/>
    <w:rsid w:val="00FA0B8E"/>
    <w:rsid w:val="00FA104B"/>
    <w:rsid w:val="00FA11D8"/>
    <w:rsid w:val="00FA1A69"/>
    <w:rsid w:val="00FA1AF3"/>
    <w:rsid w:val="00FA1D0F"/>
    <w:rsid w:val="00FA25AC"/>
    <w:rsid w:val="00FA2D49"/>
    <w:rsid w:val="00FA2D79"/>
    <w:rsid w:val="00FA366D"/>
    <w:rsid w:val="00FA3731"/>
    <w:rsid w:val="00FA3921"/>
    <w:rsid w:val="00FA3B1C"/>
    <w:rsid w:val="00FA3D9F"/>
    <w:rsid w:val="00FA40CD"/>
    <w:rsid w:val="00FA4670"/>
    <w:rsid w:val="00FA4E16"/>
    <w:rsid w:val="00FA55E0"/>
    <w:rsid w:val="00FA5AD5"/>
    <w:rsid w:val="00FA5F21"/>
    <w:rsid w:val="00FA6008"/>
    <w:rsid w:val="00FA661B"/>
    <w:rsid w:val="00FA6853"/>
    <w:rsid w:val="00FA72D8"/>
    <w:rsid w:val="00FA7D54"/>
    <w:rsid w:val="00FA7E31"/>
    <w:rsid w:val="00FB0266"/>
    <w:rsid w:val="00FB046A"/>
    <w:rsid w:val="00FB05DF"/>
    <w:rsid w:val="00FB066E"/>
    <w:rsid w:val="00FB08B2"/>
    <w:rsid w:val="00FB0D21"/>
    <w:rsid w:val="00FB0F53"/>
    <w:rsid w:val="00FB13E4"/>
    <w:rsid w:val="00FB14C5"/>
    <w:rsid w:val="00FB153C"/>
    <w:rsid w:val="00FB2819"/>
    <w:rsid w:val="00FB2885"/>
    <w:rsid w:val="00FB28D2"/>
    <w:rsid w:val="00FB2EB0"/>
    <w:rsid w:val="00FB3143"/>
    <w:rsid w:val="00FB3523"/>
    <w:rsid w:val="00FB35E6"/>
    <w:rsid w:val="00FB3655"/>
    <w:rsid w:val="00FB3967"/>
    <w:rsid w:val="00FB3A38"/>
    <w:rsid w:val="00FB3B66"/>
    <w:rsid w:val="00FB3EF9"/>
    <w:rsid w:val="00FB3FDC"/>
    <w:rsid w:val="00FB414D"/>
    <w:rsid w:val="00FB4285"/>
    <w:rsid w:val="00FB48A4"/>
    <w:rsid w:val="00FB4F77"/>
    <w:rsid w:val="00FB52A5"/>
    <w:rsid w:val="00FB53B6"/>
    <w:rsid w:val="00FB5554"/>
    <w:rsid w:val="00FB6698"/>
    <w:rsid w:val="00FB701A"/>
    <w:rsid w:val="00FB75DF"/>
    <w:rsid w:val="00FC0169"/>
    <w:rsid w:val="00FC024E"/>
    <w:rsid w:val="00FC0545"/>
    <w:rsid w:val="00FC0B7B"/>
    <w:rsid w:val="00FC0C56"/>
    <w:rsid w:val="00FC0D72"/>
    <w:rsid w:val="00FC0F62"/>
    <w:rsid w:val="00FC1029"/>
    <w:rsid w:val="00FC16E4"/>
    <w:rsid w:val="00FC1A9D"/>
    <w:rsid w:val="00FC1BFF"/>
    <w:rsid w:val="00FC2521"/>
    <w:rsid w:val="00FC2E57"/>
    <w:rsid w:val="00FC2F94"/>
    <w:rsid w:val="00FC36B4"/>
    <w:rsid w:val="00FC390D"/>
    <w:rsid w:val="00FC3B8C"/>
    <w:rsid w:val="00FC3CC8"/>
    <w:rsid w:val="00FC3F58"/>
    <w:rsid w:val="00FC4782"/>
    <w:rsid w:val="00FC5528"/>
    <w:rsid w:val="00FC5680"/>
    <w:rsid w:val="00FC58B0"/>
    <w:rsid w:val="00FC5CE7"/>
    <w:rsid w:val="00FC5E76"/>
    <w:rsid w:val="00FC63BE"/>
    <w:rsid w:val="00FC63CD"/>
    <w:rsid w:val="00FC63D3"/>
    <w:rsid w:val="00FC6C97"/>
    <w:rsid w:val="00FC6D11"/>
    <w:rsid w:val="00FC7261"/>
    <w:rsid w:val="00FC7474"/>
    <w:rsid w:val="00FC75FA"/>
    <w:rsid w:val="00FC7C0B"/>
    <w:rsid w:val="00FD0092"/>
    <w:rsid w:val="00FD0179"/>
    <w:rsid w:val="00FD086C"/>
    <w:rsid w:val="00FD0D42"/>
    <w:rsid w:val="00FD1202"/>
    <w:rsid w:val="00FD1273"/>
    <w:rsid w:val="00FD1667"/>
    <w:rsid w:val="00FD19C6"/>
    <w:rsid w:val="00FD1B0A"/>
    <w:rsid w:val="00FD1E50"/>
    <w:rsid w:val="00FD2690"/>
    <w:rsid w:val="00FD30FD"/>
    <w:rsid w:val="00FD35F1"/>
    <w:rsid w:val="00FD3FC5"/>
    <w:rsid w:val="00FD44E5"/>
    <w:rsid w:val="00FD47F4"/>
    <w:rsid w:val="00FD4829"/>
    <w:rsid w:val="00FD49AF"/>
    <w:rsid w:val="00FD5397"/>
    <w:rsid w:val="00FD5517"/>
    <w:rsid w:val="00FD5AB5"/>
    <w:rsid w:val="00FD5C44"/>
    <w:rsid w:val="00FD62C9"/>
    <w:rsid w:val="00FD6469"/>
    <w:rsid w:val="00FD6652"/>
    <w:rsid w:val="00FD6917"/>
    <w:rsid w:val="00FD79DA"/>
    <w:rsid w:val="00FE0143"/>
    <w:rsid w:val="00FE0309"/>
    <w:rsid w:val="00FE052C"/>
    <w:rsid w:val="00FE1331"/>
    <w:rsid w:val="00FE141D"/>
    <w:rsid w:val="00FE187B"/>
    <w:rsid w:val="00FE1C8C"/>
    <w:rsid w:val="00FE1DE5"/>
    <w:rsid w:val="00FE26B1"/>
    <w:rsid w:val="00FE2BDE"/>
    <w:rsid w:val="00FE2D47"/>
    <w:rsid w:val="00FE309A"/>
    <w:rsid w:val="00FE346F"/>
    <w:rsid w:val="00FE377E"/>
    <w:rsid w:val="00FE3827"/>
    <w:rsid w:val="00FE3927"/>
    <w:rsid w:val="00FE3D05"/>
    <w:rsid w:val="00FE3FC1"/>
    <w:rsid w:val="00FE40F3"/>
    <w:rsid w:val="00FE44D7"/>
    <w:rsid w:val="00FE4727"/>
    <w:rsid w:val="00FE4AC1"/>
    <w:rsid w:val="00FE4B6B"/>
    <w:rsid w:val="00FE4F0C"/>
    <w:rsid w:val="00FE530F"/>
    <w:rsid w:val="00FE54FF"/>
    <w:rsid w:val="00FE558D"/>
    <w:rsid w:val="00FE5821"/>
    <w:rsid w:val="00FE5A8D"/>
    <w:rsid w:val="00FE6135"/>
    <w:rsid w:val="00FE6869"/>
    <w:rsid w:val="00FE6CAB"/>
    <w:rsid w:val="00FE74D4"/>
    <w:rsid w:val="00FE775C"/>
    <w:rsid w:val="00FE778D"/>
    <w:rsid w:val="00FE7792"/>
    <w:rsid w:val="00FE7CF1"/>
    <w:rsid w:val="00FF08CF"/>
    <w:rsid w:val="00FF0CDD"/>
    <w:rsid w:val="00FF0D7F"/>
    <w:rsid w:val="00FF10BB"/>
    <w:rsid w:val="00FF1498"/>
    <w:rsid w:val="00FF18B1"/>
    <w:rsid w:val="00FF211C"/>
    <w:rsid w:val="00FF2583"/>
    <w:rsid w:val="00FF279B"/>
    <w:rsid w:val="00FF2AE3"/>
    <w:rsid w:val="00FF322E"/>
    <w:rsid w:val="00FF3D08"/>
    <w:rsid w:val="00FF3F02"/>
    <w:rsid w:val="00FF425E"/>
    <w:rsid w:val="00FF4990"/>
    <w:rsid w:val="00FF4B57"/>
    <w:rsid w:val="00FF52B0"/>
    <w:rsid w:val="00FF5B9D"/>
    <w:rsid w:val="00FF6357"/>
    <w:rsid w:val="00FF656C"/>
    <w:rsid w:val="00FF65F5"/>
    <w:rsid w:val="00FF6D1A"/>
    <w:rsid w:val="00FF6D50"/>
    <w:rsid w:val="00FF7026"/>
    <w:rsid w:val="00FF7261"/>
    <w:rsid w:val="00FF743D"/>
    <w:rsid w:val="00FF7814"/>
    <w:rsid w:val="00FF78C4"/>
    <w:rsid w:val="00FF7B2A"/>
    <w:rsid w:val="00FF7C8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1DC20A31"/>
  <w15:docId w15:val="{58432C79-8B9F-4379-B8DC-7F42BBAF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AF8"/>
    <w:rPr>
      <w:sz w:val="24"/>
      <w:szCs w:val="24"/>
    </w:rPr>
  </w:style>
  <w:style w:type="paragraph" w:styleId="Ttulo1">
    <w:name w:val="heading 1"/>
    <w:basedOn w:val="Normal"/>
    <w:next w:val="Normal"/>
    <w:link w:val="Ttulo1Car"/>
    <w:uiPriority w:val="9"/>
    <w:qFormat/>
    <w:rsid w:val="00033047"/>
    <w:pPr>
      <w:keepNext/>
      <w:numPr>
        <w:numId w:val="1"/>
      </w:numPr>
      <w:spacing w:before="240" w:after="240" w:line="360" w:lineRule="auto"/>
      <w:jc w:val="both"/>
      <w:outlineLvl w:val="0"/>
    </w:pPr>
    <w:rPr>
      <w:rFonts w:ascii="Arial" w:hAnsi="Arial" w:cs="Arial"/>
      <w:b/>
      <w:bCs/>
      <w:caps/>
      <w:color w:val="000000"/>
      <w:sz w:val="28"/>
      <w:szCs w:val="32"/>
    </w:rPr>
  </w:style>
  <w:style w:type="paragraph" w:styleId="Ttulo2">
    <w:name w:val="heading 2"/>
    <w:basedOn w:val="Ttulo3"/>
    <w:next w:val="Normal"/>
    <w:link w:val="Ttulo2Car"/>
    <w:qFormat/>
    <w:rsid w:val="00033047"/>
    <w:pPr>
      <w:numPr>
        <w:ilvl w:val="1"/>
      </w:numPr>
      <w:outlineLvl w:val="1"/>
    </w:pPr>
    <w:rPr>
      <w:sz w:val="24"/>
      <w:szCs w:val="24"/>
    </w:rPr>
  </w:style>
  <w:style w:type="paragraph" w:styleId="Ttulo3">
    <w:name w:val="heading 3"/>
    <w:basedOn w:val="Normal"/>
    <w:next w:val="Normal"/>
    <w:link w:val="Ttulo3Car"/>
    <w:qFormat/>
    <w:rsid w:val="00AF0B83"/>
    <w:pPr>
      <w:keepNext/>
      <w:numPr>
        <w:ilvl w:val="2"/>
        <w:numId w:val="1"/>
      </w:numPr>
      <w:spacing w:before="240" w:after="240" w:line="360" w:lineRule="auto"/>
      <w:outlineLvl w:val="2"/>
    </w:pPr>
    <w:rPr>
      <w:rFonts w:ascii="Arial" w:hAnsi="Arial" w:cs="Arial"/>
      <w:b/>
      <w:bCs/>
      <w:sz w:val="28"/>
      <w:szCs w:val="26"/>
    </w:rPr>
  </w:style>
  <w:style w:type="paragraph" w:styleId="Ttulo4">
    <w:name w:val="heading 4"/>
    <w:basedOn w:val="Normal"/>
    <w:next w:val="Normal"/>
    <w:link w:val="Ttulo4Car"/>
    <w:qFormat/>
    <w:rsid w:val="00AF0B83"/>
    <w:pPr>
      <w:keepNext/>
      <w:numPr>
        <w:ilvl w:val="3"/>
        <w:numId w:val="1"/>
      </w:numPr>
      <w:spacing w:before="240" w:after="240" w:line="360" w:lineRule="auto"/>
      <w:outlineLvl w:val="3"/>
    </w:pPr>
    <w:rPr>
      <w:rFonts w:ascii="Arial" w:hAnsi="Arial"/>
      <w:b/>
      <w:bCs/>
      <w:szCs w:val="28"/>
    </w:rPr>
  </w:style>
  <w:style w:type="paragraph" w:styleId="Ttulo5">
    <w:name w:val="heading 5"/>
    <w:basedOn w:val="Normal"/>
    <w:next w:val="Normal"/>
    <w:link w:val="Ttulo5Car"/>
    <w:qFormat/>
    <w:rsid w:val="00AF0B83"/>
    <w:pPr>
      <w:numPr>
        <w:ilvl w:val="4"/>
        <w:numId w:val="1"/>
      </w:numPr>
      <w:spacing w:before="240" w:after="240" w:line="360" w:lineRule="auto"/>
      <w:outlineLvl w:val="4"/>
    </w:pPr>
    <w:rPr>
      <w:rFonts w:ascii="Arial" w:hAnsi="Arial"/>
      <w:bCs/>
      <w:i/>
      <w:iCs/>
      <w:szCs w:val="26"/>
    </w:rPr>
  </w:style>
  <w:style w:type="paragraph" w:styleId="Ttulo6">
    <w:name w:val="heading 6"/>
    <w:basedOn w:val="Normal"/>
    <w:next w:val="Normal"/>
    <w:link w:val="Ttulo6Car"/>
    <w:qFormat/>
    <w:rsid w:val="00AF0B83"/>
    <w:pPr>
      <w:numPr>
        <w:ilvl w:val="5"/>
        <w:numId w:val="1"/>
      </w:numPr>
      <w:spacing w:before="240" w:after="240" w:line="360" w:lineRule="auto"/>
      <w:outlineLvl w:val="5"/>
    </w:pPr>
    <w:rPr>
      <w:rFonts w:ascii="Arial" w:hAnsi="Arial"/>
      <w:bCs/>
      <w:i/>
      <w:szCs w:val="22"/>
    </w:rPr>
  </w:style>
  <w:style w:type="paragraph" w:styleId="Ttulo7">
    <w:name w:val="heading 7"/>
    <w:basedOn w:val="Normal"/>
    <w:next w:val="Normal"/>
    <w:link w:val="Ttulo7Car"/>
    <w:qFormat/>
    <w:rsid w:val="00AF0B83"/>
    <w:pPr>
      <w:numPr>
        <w:ilvl w:val="6"/>
        <w:numId w:val="1"/>
      </w:numPr>
      <w:spacing w:before="240" w:after="240" w:line="360" w:lineRule="auto"/>
      <w:outlineLvl w:val="6"/>
    </w:pPr>
    <w:rPr>
      <w:rFonts w:ascii="Arial" w:hAnsi="Arial"/>
      <w:i/>
    </w:rPr>
  </w:style>
  <w:style w:type="paragraph" w:styleId="Ttulo8">
    <w:name w:val="heading 8"/>
    <w:basedOn w:val="Normal"/>
    <w:next w:val="Normal"/>
    <w:link w:val="Ttulo8Car"/>
    <w:qFormat/>
    <w:rsid w:val="00AF0B83"/>
    <w:pPr>
      <w:numPr>
        <w:ilvl w:val="7"/>
        <w:numId w:val="1"/>
      </w:numPr>
      <w:spacing w:before="240" w:after="240" w:line="360" w:lineRule="auto"/>
      <w:outlineLvl w:val="7"/>
    </w:pPr>
    <w:rPr>
      <w:rFonts w:ascii="Arial" w:hAnsi="Arial"/>
      <w:i/>
      <w:iCs/>
    </w:rPr>
  </w:style>
  <w:style w:type="paragraph" w:styleId="Ttulo9">
    <w:name w:val="heading 9"/>
    <w:basedOn w:val="Normal"/>
    <w:next w:val="Normal"/>
    <w:link w:val="Ttulo9Car"/>
    <w:qFormat/>
    <w:rsid w:val="00AF0B83"/>
    <w:pPr>
      <w:numPr>
        <w:ilvl w:val="8"/>
        <w:numId w:val="1"/>
      </w:numPr>
      <w:spacing w:before="240" w:after="240" w:line="360" w:lineRule="auto"/>
      <w:outlineLvl w:val="8"/>
    </w:pPr>
    <w:rPr>
      <w:rFonts w:ascii="Arial" w:hAnsi="Arial" w:cs="Arial"/>
      <w: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57DE3"/>
    <w:pPr>
      <w:tabs>
        <w:tab w:val="center" w:pos="4252"/>
        <w:tab w:val="right" w:pos="8504"/>
      </w:tabs>
    </w:pPr>
  </w:style>
  <w:style w:type="paragraph" w:styleId="Piedepgina">
    <w:name w:val="footer"/>
    <w:aliases w:val="Pie de página CNMC"/>
    <w:basedOn w:val="Normal"/>
    <w:link w:val="PiedepginaCar"/>
    <w:qFormat/>
    <w:rsid w:val="00B57DE3"/>
    <w:pPr>
      <w:tabs>
        <w:tab w:val="center" w:pos="4252"/>
        <w:tab w:val="right" w:pos="8504"/>
      </w:tabs>
    </w:pPr>
  </w:style>
  <w:style w:type="character" w:styleId="Nmerodepgina">
    <w:name w:val="page number"/>
    <w:basedOn w:val="Fuentedeprrafopredeter"/>
    <w:rsid w:val="00B57DE3"/>
  </w:style>
  <w:style w:type="paragraph" w:styleId="Mapadeldocumento">
    <w:name w:val="Document Map"/>
    <w:basedOn w:val="Normal"/>
    <w:semiHidden/>
    <w:rsid w:val="00BE7695"/>
    <w:pPr>
      <w:shd w:val="clear" w:color="auto" w:fill="000080"/>
    </w:pPr>
    <w:rPr>
      <w:rFonts w:ascii="Tahoma" w:hAnsi="Tahoma" w:cs="Tahoma"/>
      <w:sz w:val="20"/>
      <w:szCs w:val="20"/>
    </w:rPr>
  </w:style>
  <w:style w:type="character" w:customStyle="1" w:styleId="EncabezadoCar">
    <w:name w:val="Encabezado Car"/>
    <w:link w:val="Encabezado"/>
    <w:uiPriority w:val="99"/>
    <w:rsid w:val="00E03977"/>
    <w:rPr>
      <w:sz w:val="24"/>
      <w:szCs w:val="24"/>
      <w:lang w:val="es-ES" w:eastAsia="es-ES" w:bidi="ar-SA"/>
    </w:rPr>
  </w:style>
  <w:style w:type="paragraph" w:styleId="Sangradetextonormal">
    <w:name w:val="Body Text Indent"/>
    <w:basedOn w:val="Normal"/>
    <w:rsid w:val="00E03977"/>
    <w:pPr>
      <w:autoSpaceDE w:val="0"/>
      <w:autoSpaceDN w:val="0"/>
      <w:adjustRightInd w:val="0"/>
      <w:spacing w:line="360" w:lineRule="auto"/>
      <w:ind w:left="720"/>
    </w:pPr>
    <w:rPr>
      <w:rFonts w:ascii="Arial" w:hAnsi="Arial" w:cs="Arial"/>
      <w:szCs w:val="20"/>
      <w:lang w:val="en-GB" w:eastAsia="de-DE"/>
    </w:rPr>
  </w:style>
  <w:style w:type="paragraph" w:styleId="Sangra2detindependiente">
    <w:name w:val="Body Text Indent 2"/>
    <w:basedOn w:val="Normal"/>
    <w:rsid w:val="00E03977"/>
    <w:pPr>
      <w:autoSpaceDE w:val="0"/>
      <w:autoSpaceDN w:val="0"/>
      <w:adjustRightInd w:val="0"/>
      <w:spacing w:line="360" w:lineRule="auto"/>
      <w:ind w:left="1260" w:hanging="540"/>
    </w:pPr>
    <w:rPr>
      <w:rFonts w:ascii="Arial" w:hAnsi="Arial" w:cs="Arial"/>
      <w:lang w:val="en-GB" w:eastAsia="de-DE"/>
    </w:rPr>
  </w:style>
  <w:style w:type="paragraph" w:styleId="Textonotapie">
    <w:name w:val="footnote text"/>
    <w:aliases w:val="Footnote Text Char,fn,Footnote Text Char2,Footnote Text Char1 Char1,Footnote Text Char Char Char,Footnote Text Char1 Char Char Char,Footnote Text Char Char Char Char Char,Footnote Text Char1 Char Char Char Char Char,Car,ft,10 p"/>
    <w:basedOn w:val="Normal"/>
    <w:link w:val="TextonotapieCar"/>
    <w:uiPriority w:val="99"/>
    <w:qFormat/>
    <w:rsid w:val="00E03977"/>
    <w:pPr>
      <w:spacing w:after="240"/>
      <w:ind w:left="357" w:hanging="357"/>
      <w:jc w:val="both"/>
    </w:pPr>
    <w:rPr>
      <w:sz w:val="20"/>
      <w:szCs w:val="20"/>
      <w:lang w:val="fr-FR" w:eastAsia="en-GB"/>
    </w:rPr>
  </w:style>
  <w:style w:type="character" w:styleId="Refdenotaalpie">
    <w:name w:val="footnote reference"/>
    <w:aliases w:val="fr,Ref,de nota al pie,Footnote,SUPERS,Footnote reference number,Footnote symbol,note TESI,-E Fußnotenzeichen,number"/>
    <w:uiPriority w:val="99"/>
    <w:rsid w:val="00E03977"/>
    <w:rPr>
      <w:vertAlign w:val="superscript"/>
    </w:rPr>
  </w:style>
  <w:style w:type="paragraph" w:styleId="NormalWeb">
    <w:name w:val="Normal (Web)"/>
    <w:basedOn w:val="Normal"/>
    <w:rsid w:val="00E03977"/>
    <w:pPr>
      <w:spacing w:before="100" w:beforeAutospacing="1" w:after="100" w:afterAutospacing="1"/>
    </w:pPr>
    <w:rPr>
      <w:lang w:val="de-DE" w:eastAsia="de-DE"/>
    </w:rPr>
  </w:style>
  <w:style w:type="character" w:styleId="Hipervnculo">
    <w:name w:val="Hyperlink"/>
    <w:rsid w:val="008C6E10"/>
    <w:rPr>
      <w:color w:val="0000FF"/>
      <w:u w:val="single"/>
    </w:rPr>
  </w:style>
  <w:style w:type="table" w:styleId="Tablaconcuadrcula">
    <w:name w:val="Table Grid"/>
    <w:basedOn w:val="Tablanormal"/>
    <w:uiPriority w:val="59"/>
    <w:rsid w:val="00193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1934EF"/>
    <w:pPr>
      <w:ind w:left="709"/>
      <w:jc w:val="both"/>
    </w:pPr>
    <w:rPr>
      <w:rFonts w:ascii="Arial" w:hAnsi="Arial"/>
    </w:rPr>
  </w:style>
  <w:style w:type="character" w:styleId="Refdecomentario">
    <w:name w:val="annotation reference"/>
    <w:rsid w:val="005A24FB"/>
    <w:rPr>
      <w:sz w:val="16"/>
      <w:szCs w:val="16"/>
    </w:rPr>
  </w:style>
  <w:style w:type="paragraph" w:styleId="Textocomentario">
    <w:name w:val="annotation text"/>
    <w:basedOn w:val="Normal"/>
    <w:link w:val="TextocomentarioCar"/>
    <w:rsid w:val="005A24FB"/>
    <w:rPr>
      <w:sz w:val="20"/>
      <w:szCs w:val="20"/>
    </w:rPr>
  </w:style>
  <w:style w:type="paragraph" w:styleId="Asuntodelcomentario">
    <w:name w:val="annotation subject"/>
    <w:basedOn w:val="Textocomentario"/>
    <w:next w:val="Textocomentario"/>
    <w:link w:val="AsuntodelcomentarioCar"/>
    <w:rsid w:val="005A24FB"/>
    <w:rPr>
      <w:b/>
      <w:bCs/>
    </w:rPr>
  </w:style>
  <w:style w:type="paragraph" w:styleId="Textodeglobo">
    <w:name w:val="Balloon Text"/>
    <w:basedOn w:val="Normal"/>
    <w:semiHidden/>
    <w:rsid w:val="005A24FB"/>
    <w:rPr>
      <w:rFonts w:ascii="Tahoma" w:hAnsi="Tahoma" w:cs="Tahoma"/>
      <w:sz w:val="16"/>
      <w:szCs w:val="16"/>
    </w:rPr>
  </w:style>
  <w:style w:type="character" w:styleId="AcrnimoHTML">
    <w:name w:val="HTML Acronym"/>
    <w:uiPriority w:val="99"/>
    <w:rsid w:val="001A3AEB"/>
  </w:style>
  <w:style w:type="character" w:customStyle="1" w:styleId="TextonotapieCar">
    <w:name w:val="Texto nota pie Car"/>
    <w:aliases w:val="Footnote Text Char Car,fn Car,Footnote Text Char2 Car,Footnote Text Char1 Char1 Car,Footnote Text Char Char Char Car,Footnote Text Char1 Char Char Char Car,Footnote Text Char Char Char Char Char Car,Car Car,ft Car,10 p Car"/>
    <w:link w:val="Textonotapie"/>
    <w:uiPriority w:val="99"/>
    <w:rsid w:val="00A919B7"/>
    <w:rPr>
      <w:lang w:val="fr-FR" w:eastAsia="en-GB"/>
    </w:rPr>
  </w:style>
  <w:style w:type="paragraph" w:styleId="Textoindependiente">
    <w:name w:val="Body Text"/>
    <w:basedOn w:val="Normal"/>
    <w:link w:val="TextoindependienteCar"/>
    <w:rsid w:val="00F61FCB"/>
    <w:pPr>
      <w:spacing w:after="120"/>
    </w:pPr>
  </w:style>
  <w:style w:type="character" w:customStyle="1" w:styleId="TextoindependienteCar">
    <w:name w:val="Texto independiente Car"/>
    <w:link w:val="Textoindependiente"/>
    <w:rsid w:val="00F61FCB"/>
    <w:rPr>
      <w:sz w:val="24"/>
      <w:szCs w:val="24"/>
    </w:rPr>
  </w:style>
  <w:style w:type="character" w:customStyle="1" w:styleId="TextocomentarioCar">
    <w:name w:val="Texto comentario Car"/>
    <w:link w:val="Textocomentario"/>
    <w:rsid w:val="00F61FCB"/>
  </w:style>
  <w:style w:type="character" w:customStyle="1" w:styleId="Sangra3detindependienteCar">
    <w:name w:val="Sangría 3 de t. independiente Car"/>
    <w:link w:val="Sangra3detindependiente"/>
    <w:rsid w:val="00CD6044"/>
    <w:rPr>
      <w:rFonts w:ascii="Arial" w:hAnsi="Arial"/>
      <w:sz w:val="24"/>
      <w:szCs w:val="24"/>
    </w:rPr>
  </w:style>
  <w:style w:type="character" w:customStyle="1" w:styleId="PiedepginaCar">
    <w:name w:val="Pie de página Car"/>
    <w:aliases w:val="Pie de página CNMC Car"/>
    <w:link w:val="Piedepgina"/>
    <w:uiPriority w:val="99"/>
    <w:rsid w:val="007B7163"/>
    <w:rPr>
      <w:sz w:val="24"/>
      <w:szCs w:val="24"/>
    </w:rPr>
  </w:style>
  <w:style w:type="paragraph" w:customStyle="1" w:styleId="Caratula">
    <w:name w:val="Caratula"/>
    <w:basedOn w:val="Normal"/>
    <w:rsid w:val="00AF0B83"/>
    <w:pPr>
      <w:framePr w:hSpace="142" w:vSpace="142" w:wrap="around" w:hAnchor="margin" w:xAlign="center" w:yAlign="center"/>
      <w:tabs>
        <w:tab w:val="left" w:pos="567"/>
      </w:tabs>
      <w:spacing w:before="240" w:after="240" w:line="360" w:lineRule="auto"/>
      <w:jc w:val="center"/>
    </w:pPr>
    <w:rPr>
      <w:rFonts w:ascii="Arial" w:hAnsi="Arial" w:cs="Arial"/>
      <w:b/>
      <w:bCs/>
      <w:caps/>
      <w:color w:val="000000"/>
      <w:sz w:val="44"/>
    </w:rPr>
  </w:style>
  <w:style w:type="character" w:customStyle="1" w:styleId="Ttulo1Car">
    <w:name w:val="Título 1 Car"/>
    <w:link w:val="Ttulo1"/>
    <w:uiPriority w:val="9"/>
    <w:rsid w:val="00033047"/>
    <w:rPr>
      <w:rFonts w:ascii="Arial" w:hAnsi="Arial" w:cs="Arial"/>
      <w:b/>
      <w:bCs/>
      <w:caps/>
      <w:color w:val="000000"/>
      <w:sz w:val="28"/>
      <w:szCs w:val="32"/>
    </w:rPr>
  </w:style>
  <w:style w:type="character" w:customStyle="1" w:styleId="Ttulo2Car">
    <w:name w:val="Título 2 Car"/>
    <w:link w:val="Ttulo2"/>
    <w:rsid w:val="00033047"/>
    <w:rPr>
      <w:rFonts w:ascii="Arial" w:hAnsi="Arial" w:cs="Arial"/>
      <w:b/>
      <w:bCs/>
      <w:sz w:val="24"/>
      <w:szCs w:val="24"/>
    </w:rPr>
  </w:style>
  <w:style w:type="character" w:customStyle="1" w:styleId="Ttulo3Car">
    <w:name w:val="Título 3 Car"/>
    <w:link w:val="Ttulo3"/>
    <w:rsid w:val="00AF0B83"/>
    <w:rPr>
      <w:rFonts w:ascii="Arial" w:hAnsi="Arial" w:cs="Arial"/>
      <w:b/>
      <w:bCs/>
      <w:sz w:val="28"/>
      <w:szCs w:val="26"/>
    </w:rPr>
  </w:style>
  <w:style w:type="character" w:customStyle="1" w:styleId="Ttulo4Car">
    <w:name w:val="Título 4 Car"/>
    <w:link w:val="Ttulo4"/>
    <w:rsid w:val="00AF0B83"/>
    <w:rPr>
      <w:rFonts w:ascii="Arial" w:hAnsi="Arial"/>
      <w:b/>
      <w:bCs/>
      <w:sz w:val="24"/>
      <w:szCs w:val="28"/>
    </w:rPr>
  </w:style>
  <w:style w:type="character" w:customStyle="1" w:styleId="Ttulo5Car">
    <w:name w:val="Título 5 Car"/>
    <w:link w:val="Ttulo5"/>
    <w:rsid w:val="00AF0B83"/>
    <w:rPr>
      <w:rFonts w:ascii="Arial" w:hAnsi="Arial"/>
      <w:bCs/>
      <w:i/>
      <w:iCs/>
      <w:sz w:val="24"/>
      <w:szCs w:val="26"/>
    </w:rPr>
  </w:style>
  <w:style w:type="character" w:customStyle="1" w:styleId="Ttulo6Car">
    <w:name w:val="Título 6 Car"/>
    <w:link w:val="Ttulo6"/>
    <w:rsid w:val="00AF0B83"/>
    <w:rPr>
      <w:rFonts w:ascii="Arial" w:hAnsi="Arial"/>
      <w:bCs/>
      <w:i/>
      <w:sz w:val="24"/>
      <w:szCs w:val="22"/>
    </w:rPr>
  </w:style>
  <w:style w:type="character" w:customStyle="1" w:styleId="Ttulo7Car">
    <w:name w:val="Título 7 Car"/>
    <w:link w:val="Ttulo7"/>
    <w:rsid w:val="00AF0B83"/>
    <w:rPr>
      <w:rFonts w:ascii="Arial" w:hAnsi="Arial"/>
      <w:i/>
      <w:sz w:val="24"/>
      <w:szCs w:val="24"/>
    </w:rPr>
  </w:style>
  <w:style w:type="character" w:customStyle="1" w:styleId="Ttulo8Car">
    <w:name w:val="Título 8 Car"/>
    <w:link w:val="Ttulo8"/>
    <w:rsid w:val="00AF0B83"/>
    <w:rPr>
      <w:rFonts w:ascii="Arial" w:hAnsi="Arial"/>
      <w:i/>
      <w:iCs/>
      <w:sz w:val="24"/>
      <w:szCs w:val="24"/>
    </w:rPr>
  </w:style>
  <w:style w:type="character" w:customStyle="1" w:styleId="Ttulo9Car">
    <w:name w:val="Título 9 Car"/>
    <w:link w:val="Ttulo9"/>
    <w:rsid w:val="00AF0B83"/>
    <w:rPr>
      <w:rFonts w:ascii="Arial" w:hAnsi="Arial" w:cs="Arial"/>
      <w:i/>
      <w:sz w:val="24"/>
      <w:szCs w:val="22"/>
    </w:rPr>
  </w:style>
  <w:style w:type="character" w:customStyle="1" w:styleId="textolibro1">
    <w:name w:val="textolibro1"/>
    <w:rsid w:val="00AF0B83"/>
    <w:rPr>
      <w:rFonts w:ascii="Georgia" w:hAnsi="Georgia" w:hint="default"/>
      <w:b/>
      <w:bCs/>
      <w:color w:val="000000"/>
      <w:sz w:val="22"/>
      <w:szCs w:val="22"/>
    </w:rPr>
  </w:style>
  <w:style w:type="character" w:customStyle="1" w:styleId="ca">
    <w:name w:val="ca"/>
    <w:basedOn w:val="Fuentedeprrafopredeter"/>
    <w:rsid w:val="00AF0B83"/>
  </w:style>
  <w:style w:type="paragraph" w:styleId="Prrafodelista">
    <w:name w:val="List Paragraph"/>
    <w:basedOn w:val="Normal"/>
    <w:uiPriority w:val="34"/>
    <w:qFormat/>
    <w:rsid w:val="00AF0B83"/>
    <w:pPr>
      <w:tabs>
        <w:tab w:val="left" w:pos="567"/>
      </w:tabs>
      <w:spacing w:before="240" w:after="240" w:line="360" w:lineRule="auto"/>
      <w:ind w:left="708"/>
      <w:jc w:val="both"/>
    </w:pPr>
    <w:rPr>
      <w:rFonts w:ascii="Arial" w:hAnsi="Arial"/>
    </w:rPr>
  </w:style>
  <w:style w:type="paragraph" w:styleId="TtuloTDC">
    <w:name w:val="TOC Heading"/>
    <w:basedOn w:val="Ttulo1"/>
    <w:next w:val="Normal"/>
    <w:uiPriority w:val="39"/>
    <w:semiHidden/>
    <w:unhideWhenUsed/>
    <w:qFormat/>
    <w:rsid w:val="006F1472"/>
    <w:pPr>
      <w:keepLines/>
      <w:numPr>
        <w:numId w:val="0"/>
      </w:numPr>
      <w:spacing w:before="480" w:after="0" w:line="276" w:lineRule="auto"/>
      <w:jc w:val="left"/>
      <w:outlineLvl w:val="9"/>
    </w:pPr>
    <w:rPr>
      <w:rFonts w:ascii="Cambria" w:hAnsi="Cambria" w:cs="Times New Roman"/>
      <w:caps w:val="0"/>
      <w:color w:val="365F91"/>
      <w:szCs w:val="28"/>
      <w:lang w:eastAsia="en-US"/>
    </w:rPr>
  </w:style>
  <w:style w:type="paragraph" w:styleId="TDC2">
    <w:name w:val="toc 2"/>
    <w:basedOn w:val="Normal"/>
    <w:next w:val="Normal"/>
    <w:autoRedefine/>
    <w:uiPriority w:val="39"/>
    <w:unhideWhenUsed/>
    <w:qFormat/>
    <w:rsid w:val="00267103"/>
    <w:pPr>
      <w:tabs>
        <w:tab w:val="left" w:pos="993"/>
        <w:tab w:val="right" w:pos="8494"/>
      </w:tabs>
      <w:spacing w:after="100" w:line="276" w:lineRule="auto"/>
      <w:ind w:left="993" w:hanging="773"/>
    </w:pPr>
    <w:rPr>
      <w:rFonts w:ascii="Arial" w:hAnsi="Arial"/>
      <w:noProof/>
      <w:szCs w:val="22"/>
      <w:lang w:eastAsia="en-US"/>
    </w:rPr>
  </w:style>
  <w:style w:type="paragraph" w:styleId="TDC1">
    <w:name w:val="toc 1"/>
    <w:basedOn w:val="Normal"/>
    <w:next w:val="Normal"/>
    <w:autoRedefine/>
    <w:uiPriority w:val="39"/>
    <w:unhideWhenUsed/>
    <w:qFormat/>
    <w:rsid w:val="00E23F0F"/>
    <w:pPr>
      <w:pBdr>
        <w:bottom w:val="single" w:sz="4" w:space="1" w:color="auto"/>
      </w:pBdr>
      <w:tabs>
        <w:tab w:val="left" w:pos="440"/>
        <w:tab w:val="right" w:pos="8494"/>
      </w:tabs>
    </w:pPr>
    <w:rPr>
      <w:rFonts w:ascii="Arial" w:hAnsi="Arial"/>
      <w:noProof/>
      <w:szCs w:val="22"/>
      <w:lang w:eastAsia="en-US"/>
    </w:rPr>
  </w:style>
  <w:style w:type="paragraph" w:styleId="TDC3">
    <w:name w:val="toc 3"/>
    <w:basedOn w:val="Normal"/>
    <w:next w:val="Normal"/>
    <w:autoRedefine/>
    <w:uiPriority w:val="39"/>
    <w:unhideWhenUsed/>
    <w:qFormat/>
    <w:rsid w:val="009863E0"/>
    <w:pPr>
      <w:tabs>
        <w:tab w:val="left" w:pos="993"/>
        <w:tab w:val="right" w:pos="8494"/>
      </w:tabs>
      <w:spacing w:after="100" w:line="276" w:lineRule="auto"/>
      <w:ind w:left="1417" w:hanging="709"/>
    </w:pPr>
    <w:rPr>
      <w:rFonts w:ascii="Arial" w:hAnsi="Arial"/>
      <w:sz w:val="22"/>
      <w:szCs w:val="22"/>
      <w:lang w:eastAsia="en-US"/>
    </w:rPr>
  </w:style>
  <w:style w:type="character" w:styleId="Ttulodellibro">
    <w:name w:val="Book Title"/>
    <w:uiPriority w:val="33"/>
    <w:qFormat/>
    <w:rsid w:val="005F14B3"/>
    <w:rPr>
      <w:rFonts w:cs="Times New Roman"/>
      <w:color w:val="auto"/>
      <w:sz w:val="24"/>
    </w:rPr>
  </w:style>
  <w:style w:type="paragraph" w:customStyle="1" w:styleId="Parrafoselegantes">
    <w:name w:val="Parrafos elegantes"/>
    <w:basedOn w:val="Normal"/>
    <w:link w:val="ParrafoselegantesCar"/>
    <w:qFormat/>
    <w:rsid w:val="005F14B3"/>
    <w:pPr>
      <w:tabs>
        <w:tab w:val="left" w:pos="567"/>
      </w:tabs>
      <w:spacing w:before="240" w:after="240" w:line="360" w:lineRule="auto"/>
      <w:jc w:val="both"/>
    </w:pPr>
    <w:rPr>
      <w:rFonts w:ascii="Arial" w:hAnsi="Arial" w:cs="Arial"/>
      <w:i/>
    </w:rPr>
  </w:style>
  <w:style w:type="character" w:customStyle="1" w:styleId="ParrafoselegantesCar">
    <w:name w:val="Parrafos elegantes Car"/>
    <w:link w:val="Parrafoselegantes"/>
    <w:rsid w:val="005F14B3"/>
    <w:rPr>
      <w:rFonts w:ascii="Arial" w:hAnsi="Arial" w:cs="Arial"/>
      <w:i/>
      <w:sz w:val="24"/>
      <w:szCs w:val="24"/>
    </w:rPr>
  </w:style>
  <w:style w:type="paragraph" w:styleId="TDC4">
    <w:name w:val="toc 4"/>
    <w:basedOn w:val="Normal"/>
    <w:next w:val="Normal"/>
    <w:autoRedefine/>
    <w:uiPriority w:val="39"/>
    <w:rsid w:val="0091567C"/>
    <w:pPr>
      <w:ind w:left="720"/>
    </w:pPr>
    <w:rPr>
      <w:rFonts w:ascii="Arial" w:hAnsi="Arial"/>
      <w:sz w:val="22"/>
    </w:rPr>
  </w:style>
  <w:style w:type="paragraph" w:customStyle="1" w:styleId="NotapiepagJnt">
    <w:name w:val="Nota pie pag Jnt"/>
    <w:basedOn w:val="Normal"/>
    <w:link w:val="NotapiepagJntCar"/>
    <w:qFormat/>
    <w:rsid w:val="003B6F77"/>
    <w:pPr>
      <w:spacing w:after="60" w:line="264" w:lineRule="auto"/>
      <w:jc w:val="both"/>
    </w:pPr>
    <w:rPr>
      <w:rFonts w:ascii="Arial" w:hAnsi="Arial" w:cs="Arial"/>
      <w:bCs/>
      <w:sz w:val="16"/>
      <w:szCs w:val="16"/>
      <w:lang w:val="es-ES_tradnl"/>
    </w:rPr>
  </w:style>
  <w:style w:type="character" w:customStyle="1" w:styleId="NotapiepagJntCar">
    <w:name w:val="Nota pie pag Jnt Car"/>
    <w:link w:val="NotapiepagJnt"/>
    <w:locked/>
    <w:rsid w:val="003B6F77"/>
    <w:rPr>
      <w:rFonts w:ascii="Arial" w:hAnsi="Arial" w:cs="Arial"/>
      <w:bCs/>
      <w:sz w:val="16"/>
      <w:szCs w:val="16"/>
      <w:lang w:val="es-ES_tradnl" w:eastAsia="en-GB"/>
    </w:rPr>
  </w:style>
  <w:style w:type="paragraph" w:styleId="Descripcin">
    <w:name w:val="caption"/>
    <w:basedOn w:val="Normal"/>
    <w:next w:val="Normal"/>
    <w:link w:val="DescripcinCar"/>
    <w:uiPriority w:val="35"/>
    <w:qFormat/>
    <w:rsid w:val="004C294C"/>
    <w:pPr>
      <w:tabs>
        <w:tab w:val="left" w:pos="567"/>
      </w:tabs>
      <w:spacing w:before="120" w:after="120" w:line="276" w:lineRule="auto"/>
      <w:jc w:val="center"/>
    </w:pPr>
    <w:rPr>
      <w:rFonts w:ascii="Arial" w:hAnsi="Arial"/>
      <w:b/>
      <w:bCs/>
      <w:sz w:val="16"/>
      <w:szCs w:val="16"/>
    </w:rPr>
  </w:style>
  <w:style w:type="character" w:customStyle="1" w:styleId="DescripcinCar">
    <w:name w:val="Descripción Car"/>
    <w:link w:val="Descripcin"/>
    <w:rsid w:val="004C294C"/>
    <w:rPr>
      <w:rFonts w:ascii="Arial" w:hAnsi="Arial"/>
      <w:b/>
      <w:bCs/>
      <w:sz w:val="16"/>
      <w:szCs w:val="16"/>
    </w:rPr>
  </w:style>
  <w:style w:type="paragraph" w:customStyle="1" w:styleId="parrafo1">
    <w:name w:val="parrafo1"/>
    <w:basedOn w:val="Normal"/>
    <w:rsid w:val="00B136D3"/>
    <w:pPr>
      <w:spacing w:before="180" w:after="180"/>
      <w:ind w:firstLine="360"/>
      <w:jc w:val="both"/>
    </w:pPr>
  </w:style>
  <w:style w:type="paragraph" w:styleId="Textosinformato">
    <w:name w:val="Plain Text"/>
    <w:basedOn w:val="Normal"/>
    <w:link w:val="TextosinformatoCar"/>
    <w:uiPriority w:val="99"/>
    <w:unhideWhenUsed/>
    <w:rsid w:val="003B78E3"/>
    <w:rPr>
      <w:rFonts w:ascii="Calibri" w:eastAsia="Calibri" w:hAnsi="Calibri" w:cs="Consolas"/>
      <w:sz w:val="22"/>
      <w:szCs w:val="21"/>
      <w:lang w:eastAsia="en-US"/>
    </w:rPr>
  </w:style>
  <w:style w:type="character" w:customStyle="1" w:styleId="TextosinformatoCar">
    <w:name w:val="Texto sin formato Car"/>
    <w:basedOn w:val="Fuentedeprrafopredeter"/>
    <w:link w:val="Textosinformato"/>
    <w:uiPriority w:val="99"/>
    <w:rsid w:val="003B78E3"/>
    <w:rPr>
      <w:rFonts w:ascii="Calibri" w:eastAsia="Calibri" w:hAnsi="Calibri" w:cs="Consolas"/>
      <w:sz w:val="22"/>
      <w:szCs w:val="21"/>
      <w:lang w:eastAsia="en-US"/>
    </w:rPr>
  </w:style>
  <w:style w:type="paragraph" w:customStyle="1" w:styleId="Default">
    <w:name w:val="Default"/>
    <w:rsid w:val="00301A45"/>
    <w:pPr>
      <w:autoSpaceDE w:val="0"/>
      <w:autoSpaceDN w:val="0"/>
      <w:adjustRightInd w:val="0"/>
    </w:pPr>
    <w:rPr>
      <w:rFonts w:ascii="Arial" w:hAnsi="Arial" w:cs="Arial"/>
      <w:color w:val="000000"/>
      <w:sz w:val="24"/>
      <w:szCs w:val="24"/>
    </w:rPr>
  </w:style>
  <w:style w:type="paragraph" w:styleId="Revisin">
    <w:name w:val="Revision"/>
    <w:hidden/>
    <w:uiPriority w:val="99"/>
    <w:semiHidden/>
    <w:rsid w:val="00F46584"/>
    <w:rPr>
      <w:sz w:val="24"/>
      <w:szCs w:val="24"/>
    </w:rPr>
  </w:style>
  <w:style w:type="paragraph" w:customStyle="1" w:styleId="articulo1">
    <w:name w:val="articulo1"/>
    <w:basedOn w:val="Normal"/>
    <w:rsid w:val="00D97985"/>
    <w:pPr>
      <w:spacing w:before="360" w:after="180"/>
    </w:pPr>
    <w:rPr>
      <w:b/>
      <w:bCs/>
    </w:rPr>
  </w:style>
  <w:style w:type="paragraph" w:customStyle="1" w:styleId="parrafo21">
    <w:name w:val="parrafo_21"/>
    <w:basedOn w:val="Normal"/>
    <w:rsid w:val="00D97985"/>
    <w:pPr>
      <w:spacing w:before="360" w:after="180"/>
      <w:ind w:firstLine="360"/>
      <w:jc w:val="both"/>
    </w:pPr>
  </w:style>
  <w:style w:type="paragraph" w:customStyle="1" w:styleId="Pa6">
    <w:name w:val="Pa6"/>
    <w:basedOn w:val="Default"/>
    <w:next w:val="Default"/>
    <w:uiPriority w:val="99"/>
    <w:rsid w:val="00F01E69"/>
    <w:pPr>
      <w:spacing w:line="201" w:lineRule="atLeast"/>
    </w:pPr>
    <w:rPr>
      <w:color w:val="auto"/>
    </w:rPr>
  </w:style>
  <w:style w:type="paragraph" w:customStyle="1" w:styleId="tituloresolucion">
    <w:name w:val="titulo_resolucion"/>
    <w:basedOn w:val="Ttulo1"/>
    <w:uiPriority w:val="99"/>
    <w:rsid w:val="005B1192"/>
    <w:pPr>
      <w:numPr>
        <w:numId w:val="0"/>
      </w:numPr>
      <w:spacing w:before="360" w:after="360" w:line="240" w:lineRule="auto"/>
    </w:pPr>
    <w:rPr>
      <w:caps w:val="0"/>
      <w:color w:val="auto"/>
      <w:kern w:val="32"/>
      <w:lang w:val="es-ES_tradnl"/>
    </w:rPr>
  </w:style>
  <w:style w:type="paragraph" w:customStyle="1" w:styleId="Pa8">
    <w:name w:val="Pa8"/>
    <w:basedOn w:val="Default"/>
    <w:next w:val="Default"/>
    <w:uiPriority w:val="99"/>
    <w:rsid w:val="00E13ADA"/>
    <w:pPr>
      <w:spacing w:line="201" w:lineRule="atLeast"/>
    </w:pPr>
    <w:rPr>
      <w:color w:val="auto"/>
    </w:rPr>
  </w:style>
  <w:style w:type="paragraph" w:customStyle="1" w:styleId="Pa7">
    <w:name w:val="Pa7"/>
    <w:basedOn w:val="Default"/>
    <w:next w:val="Default"/>
    <w:uiPriority w:val="99"/>
    <w:rsid w:val="008830F2"/>
    <w:pPr>
      <w:spacing w:line="201" w:lineRule="atLeast"/>
    </w:pPr>
    <w:rPr>
      <w:color w:val="auto"/>
    </w:rPr>
  </w:style>
  <w:style w:type="paragraph" w:customStyle="1" w:styleId="Pa9">
    <w:name w:val="Pa9"/>
    <w:basedOn w:val="Default"/>
    <w:next w:val="Default"/>
    <w:uiPriority w:val="99"/>
    <w:rsid w:val="008830F2"/>
    <w:pPr>
      <w:spacing w:line="201" w:lineRule="atLeast"/>
    </w:pPr>
    <w:rPr>
      <w:color w:val="auto"/>
    </w:rPr>
  </w:style>
  <w:style w:type="character" w:styleId="Textodelmarcadordeposicin">
    <w:name w:val="Placeholder Text"/>
    <w:basedOn w:val="Fuentedeprrafopredeter"/>
    <w:uiPriority w:val="99"/>
    <w:semiHidden/>
    <w:rsid w:val="0032083E"/>
    <w:rPr>
      <w:color w:val="808080"/>
    </w:rPr>
  </w:style>
  <w:style w:type="paragraph" w:customStyle="1" w:styleId="CM1">
    <w:name w:val="CM1"/>
    <w:basedOn w:val="Default"/>
    <w:next w:val="Default"/>
    <w:uiPriority w:val="99"/>
    <w:rsid w:val="005D5D3C"/>
    <w:rPr>
      <w:rFonts w:ascii="EUAlbertina" w:hAnsi="EUAlbertina" w:cs="Times New Roman"/>
      <w:color w:val="auto"/>
    </w:rPr>
  </w:style>
  <w:style w:type="paragraph" w:customStyle="1" w:styleId="CM3">
    <w:name w:val="CM3"/>
    <w:basedOn w:val="Default"/>
    <w:next w:val="Default"/>
    <w:uiPriority w:val="99"/>
    <w:rsid w:val="005D5D3C"/>
    <w:rPr>
      <w:rFonts w:ascii="EUAlbertina" w:hAnsi="EUAlbertina" w:cs="Times New Roman"/>
      <w:color w:val="auto"/>
    </w:rPr>
  </w:style>
  <w:style w:type="paragraph" w:customStyle="1" w:styleId="CM4">
    <w:name w:val="CM4"/>
    <w:basedOn w:val="Default"/>
    <w:next w:val="Default"/>
    <w:uiPriority w:val="99"/>
    <w:rsid w:val="003A6C0D"/>
    <w:rPr>
      <w:rFonts w:ascii="EUAlbertina" w:hAnsi="EUAlbertina" w:cs="Times New Roman"/>
      <w:color w:val="auto"/>
    </w:rPr>
  </w:style>
  <w:style w:type="paragraph" w:customStyle="1" w:styleId="1">
    <w:name w:val="1"/>
    <w:basedOn w:val="Normal"/>
    <w:next w:val="Ttulo"/>
    <w:qFormat/>
    <w:rsid w:val="00ED3E7E"/>
    <w:pPr>
      <w:widowControl w:val="0"/>
      <w:jc w:val="center"/>
    </w:pPr>
    <w:rPr>
      <w:rFonts w:ascii="Arial" w:hAnsi="Arial"/>
      <w:b/>
      <w:sz w:val="28"/>
      <w:szCs w:val="20"/>
      <w:lang w:val="es-ES_tradnl"/>
    </w:rPr>
  </w:style>
  <w:style w:type="paragraph" w:styleId="Textoindependiente2">
    <w:name w:val="Body Text 2"/>
    <w:basedOn w:val="Normal"/>
    <w:link w:val="Textoindependiente2Car"/>
    <w:rsid w:val="00ED3E7E"/>
    <w:pPr>
      <w:jc w:val="both"/>
    </w:pPr>
    <w:rPr>
      <w:rFonts w:ascii="Arial" w:hAnsi="Arial"/>
      <w:sz w:val="28"/>
      <w:szCs w:val="20"/>
      <w:lang w:val="es-ES_tradnl"/>
    </w:rPr>
  </w:style>
  <w:style w:type="character" w:customStyle="1" w:styleId="Textoindependiente2Car">
    <w:name w:val="Texto independiente 2 Car"/>
    <w:basedOn w:val="Fuentedeprrafopredeter"/>
    <w:link w:val="Textoindependiente2"/>
    <w:rsid w:val="00ED3E7E"/>
    <w:rPr>
      <w:rFonts w:ascii="Arial" w:hAnsi="Arial"/>
      <w:sz w:val="28"/>
      <w:lang w:val="es-ES_tradnl"/>
    </w:rPr>
  </w:style>
  <w:style w:type="paragraph" w:styleId="Textoindependiente3">
    <w:name w:val="Body Text 3"/>
    <w:basedOn w:val="Normal"/>
    <w:link w:val="Textoindependiente3Car"/>
    <w:rsid w:val="00ED3E7E"/>
    <w:pPr>
      <w:spacing w:line="312" w:lineRule="auto"/>
      <w:jc w:val="both"/>
    </w:pPr>
    <w:rPr>
      <w:rFonts w:ascii="Arial" w:hAnsi="Arial"/>
      <w:b/>
      <w:szCs w:val="20"/>
      <w:lang w:val="es-ES_tradnl"/>
    </w:rPr>
  </w:style>
  <w:style w:type="character" w:customStyle="1" w:styleId="Textoindependiente3Car">
    <w:name w:val="Texto independiente 3 Car"/>
    <w:basedOn w:val="Fuentedeprrafopredeter"/>
    <w:link w:val="Textoindependiente3"/>
    <w:rsid w:val="00ED3E7E"/>
    <w:rPr>
      <w:rFonts w:ascii="Arial" w:hAnsi="Arial"/>
      <w:b/>
      <w:sz w:val="24"/>
      <w:lang w:val="es-ES_tradnl"/>
    </w:rPr>
  </w:style>
  <w:style w:type="paragraph" w:styleId="Textodebloque">
    <w:name w:val="Block Text"/>
    <w:basedOn w:val="Normal"/>
    <w:rsid w:val="00ED3E7E"/>
    <w:pPr>
      <w:ind w:left="284" w:right="566"/>
      <w:jc w:val="center"/>
    </w:pPr>
    <w:rPr>
      <w:b/>
      <w:sz w:val="32"/>
      <w:szCs w:val="20"/>
      <w:u w:val="single"/>
      <w:lang w:val="es-ES_tradnl"/>
    </w:rPr>
  </w:style>
  <w:style w:type="paragraph" w:customStyle="1" w:styleId="Textonota">
    <w:name w:val="Texto nota"/>
    <w:basedOn w:val="Normal"/>
    <w:link w:val="TextonotaCar"/>
    <w:rsid w:val="00ED3E7E"/>
    <w:pPr>
      <w:spacing w:before="200" w:after="200" w:line="320" w:lineRule="atLeast"/>
      <w:jc w:val="both"/>
    </w:pPr>
    <w:rPr>
      <w:rFonts w:ascii="Arial" w:hAnsi="Arial" w:cs="Arial"/>
    </w:rPr>
  </w:style>
  <w:style w:type="paragraph" w:customStyle="1" w:styleId="Vieta-2">
    <w:name w:val="Viñeta-2"/>
    <w:basedOn w:val="Normal"/>
    <w:link w:val="Vieta-2Car"/>
    <w:rsid w:val="00ED3E7E"/>
    <w:pPr>
      <w:numPr>
        <w:numId w:val="3"/>
      </w:numPr>
      <w:spacing w:before="120" w:after="120" w:line="320" w:lineRule="atLeast"/>
      <w:jc w:val="both"/>
    </w:pPr>
    <w:rPr>
      <w:rFonts w:ascii="Arial" w:hAnsi="Arial" w:cs="Arial"/>
    </w:rPr>
  </w:style>
  <w:style w:type="character" w:customStyle="1" w:styleId="TextonotaCar">
    <w:name w:val="Texto nota Car"/>
    <w:link w:val="Textonota"/>
    <w:rsid w:val="00ED3E7E"/>
    <w:rPr>
      <w:rFonts w:ascii="Arial" w:hAnsi="Arial" w:cs="Arial"/>
      <w:sz w:val="24"/>
      <w:szCs w:val="24"/>
    </w:rPr>
  </w:style>
  <w:style w:type="character" w:customStyle="1" w:styleId="Vieta-2Car">
    <w:name w:val="Viñeta-2 Car"/>
    <w:link w:val="Vieta-2"/>
    <w:rsid w:val="00ED3E7E"/>
    <w:rPr>
      <w:rFonts w:ascii="Arial" w:hAnsi="Arial" w:cs="Arial"/>
      <w:sz w:val="24"/>
      <w:szCs w:val="24"/>
    </w:rPr>
  </w:style>
  <w:style w:type="paragraph" w:customStyle="1" w:styleId="PersonalDiego">
    <w:name w:val="Personal Diego"/>
    <w:basedOn w:val="Normal"/>
    <w:rsid w:val="00ED3E7E"/>
    <w:pPr>
      <w:spacing w:line="360" w:lineRule="auto"/>
      <w:ind w:firstLine="709"/>
      <w:jc w:val="both"/>
    </w:pPr>
    <w:rPr>
      <w:rFonts w:ascii="Arial" w:hAnsi="Arial" w:cs="Arial"/>
      <w:sz w:val="20"/>
      <w:szCs w:val="20"/>
    </w:rPr>
  </w:style>
  <w:style w:type="character" w:customStyle="1" w:styleId="AsuntodelcomentarioCar">
    <w:name w:val="Asunto del comentario Car"/>
    <w:link w:val="Asuntodelcomentario"/>
    <w:rsid w:val="00ED3E7E"/>
    <w:rPr>
      <w:b/>
      <w:bCs/>
    </w:rPr>
  </w:style>
  <w:style w:type="paragraph" w:customStyle="1" w:styleId="Vietas">
    <w:name w:val="Viñetas"/>
    <w:basedOn w:val="Normal"/>
    <w:qFormat/>
    <w:rsid w:val="00ED3E7E"/>
    <w:pPr>
      <w:numPr>
        <w:numId w:val="17"/>
      </w:numPr>
      <w:spacing w:after="200" w:line="276" w:lineRule="auto"/>
      <w:jc w:val="both"/>
    </w:pPr>
    <w:rPr>
      <w:rFonts w:ascii="Arial" w:eastAsia="Calibri" w:hAnsi="Arial" w:cs="Arial"/>
      <w:sz w:val="22"/>
      <w:szCs w:val="22"/>
      <w:lang w:eastAsia="en-US"/>
    </w:rPr>
  </w:style>
  <w:style w:type="paragraph" w:styleId="Ttulo">
    <w:name w:val="Title"/>
    <w:basedOn w:val="Normal"/>
    <w:next w:val="Normal"/>
    <w:link w:val="TtuloCar"/>
    <w:qFormat/>
    <w:rsid w:val="00ED3E7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D3E7E"/>
    <w:rPr>
      <w:rFonts w:asciiTheme="majorHAnsi" w:eastAsiaTheme="majorEastAsia" w:hAnsiTheme="majorHAnsi" w:cstheme="majorBidi"/>
      <w:spacing w:val="-10"/>
      <w:kern w:val="28"/>
      <w:sz w:val="56"/>
      <w:szCs w:val="56"/>
    </w:rPr>
  </w:style>
  <w:style w:type="paragraph" w:customStyle="1" w:styleId="Pa17">
    <w:name w:val="Pa17"/>
    <w:basedOn w:val="Default"/>
    <w:next w:val="Default"/>
    <w:uiPriority w:val="99"/>
    <w:rsid w:val="00F2750B"/>
    <w:pPr>
      <w:spacing w:line="201" w:lineRule="atLeast"/>
    </w:pPr>
    <w:rPr>
      <w:color w:val="auto"/>
    </w:rPr>
  </w:style>
  <w:style w:type="paragraph" w:customStyle="1" w:styleId="Pa16">
    <w:name w:val="Pa16"/>
    <w:basedOn w:val="Default"/>
    <w:next w:val="Default"/>
    <w:uiPriority w:val="99"/>
    <w:rsid w:val="00F2750B"/>
    <w:pPr>
      <w:spacing w:line="201" w:lineRule="atLeast"/>
    </w:pPr>
    <w:rPr>
      <w:color w:val="auto"/>
    </w:rPr>
  </w:style>
  <w:style w:type="character" w:styleId="Hipervnculovisitado">
    <w:name w:val="FollowedHyperlink"/>
    <w:basedOn w:val="Fuentedeprrafopredeter"/>
    <w:semiHidden/>
    <w:unhideWhenUsed/>
    <w:rsid w:val="00712190"/>
    <w:rPr>
      <w:color w:val="800080" w:themeColor="followedHyperlink"/>
      <w:u w:val="single"/>
    </w:rPr>
  </w:style>
  <w:style w:type="character" w:customStyle="1" w:styleId="marky6rqj5xsg">
    <w:name w:val="marky6rqj5xsg"/>
    <w:basedOn w:val="Fuentedeprrafopredeter"/>
    <w:rsid w:val="00C92E32"/>
  </w:style>
  <w:style w:type="character" w:customStyle="1" w:styleId="markrh8uv294j">
    <w:name w:val="markrh8uv294j"/>
    <w:basedOn w:val="Fuentedeprrafopredeter"/>
    <w:rsid w:val="00C9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854">
      <w:bodyDiv w:val="1"/>
      <w:marLeft w:val="0"/>
      <w:marRight w:val="0"/>
      <w:marTop w:val="0"/>
      <w:marBottom w:val="0"/>
      <w:divBdr>
        <w:top w:val="none" w:sz="0" w:space="0" w:color="auto"/>
        <w:left w:val="none" w:sz="0" w:space="0" w:color="auto"/>
        <w:bottom w:val="none" w:sz="0" w:space="0" w:color="auto"/>
        <w:right w:val="none" w:sz="0" w:space="0" w:color="auto"/>
      </w:divBdr>
    </w:div>
    <w:div w:id="40060301">
      <w:bodyDiv w:val="1"/>
      <w:marLeft w:val="0"/>
      <w:marRight w:val="0"/>
      <w:marTop w:val="0"/>
      <w:marBottom w:val="0"/>
      <w:divBdr>
        <w:top w:val="none" w:sz="0" w:space="0" w:color="auto"/>
        <w:left w:val="none" w:sz="0" w:space="0" w:color="auto"/>
        <w:bottom w:val="none" w:sz="0" w:space="0" w:color="auto"/>
        <w:right w:val="none" w:sz="0" w:space="0" w:color="auto"/>
      </w:divBdr>
    </w:div>
    <w:div w:id="122814992">
      <w:bodyDiv w:val="1"/>
      <w:marLeft w:val="0"/>
      <w:marRight w:val="0"/>
      <w:marTop w:val="0"/>
      <w:marBottom w:val="0"/>
      <w:divBdr>
        <w:top w:val="none" w:sz="0" w:space="0" w:color="auto"/>
        <w:left w:val="none" w:sz="0" w:space="0" w:color="auto"/>
        <w:bottom w:val="none" w:sz="0" w:space="0" w:color="auto"/>
        <w:right w:val="none" w:sz="0" w:space="0" w:color="auto"/>
      </w:divBdr>
    </w:div>
    <w:div w:id="123744224">
      <w:bodyDiv w:val="1"/>
      <w:marLeft w:val="0"/>
      <w:marRight w:val="0"/>
      <w:marTop w:val="0"/>
      <w:marBottom w:val="0"/>
      <w:divBdr>
        <w:top w:val="none" w:sz="0" w:space="0" w:color="auto"/>
        <w:left w:val="none" w:sz="0" w:space="0" w:color="auto"/>
        <w:bottom w:val="none" w:sz="0" w:space="0" w:color="auto"/>
        <w:right w:val="none" w:sz="0" w:space="0" w:color="auto"/>
      </w:divBdr>
    </w:div>
    <w:div w:id="133182985">
      <w:bodyDiv w:val="1"/>
      <w:marLeft w:val="0"/>
      <w:marRight w:val="0"/>
      <w:marTop w:val="0"/>
      <w:marBottom w:val="0"/>
      <w:divBdr>
        <w:top w:val="none" w:sz="0" w:space="0" w:color="auto"/>
        <w:left w:val="none" w:sz="0" w:space="0" w:color="auto"/>
        <w:bottom w:val="none" w:sz="0" w:space="0" w:color="auto"/>
        <w:right w:val="none" w:sz="0" w:space="0" w:color="auto"/>
      </w:divBdr>
    </w:div>
    <w:div w:id="168372538">
      <w:bodyDiv w:val="1"/>
      <w:marLeft w:val="0"/>
      <w:marRight w:val="0"/>
      <w:marTop w:val="0"/>
      <w:marBottom w:val="0"/>
      <w:divBdr>
        <w:top w:val="none" w:sz="0" w:space="0" w:color="auto"/>
        <w:left w:val="none" w:sz="0" w:space="0" w:color="auto"/>
        <w:bottom w:val="none" w:sz="0" w:space="0" w:color="auto"/>
        <w:right w:val="none" w:sz="0" w:space="0" w:color="auto"/>
      </w:divBdr>
    </w:div>
    <w:div w:id="191039728">
      <w:bodyDiv w:val="1"/>
      <w:marLeft w:val="0"/>
      <w:marRight w:val="0"/>
      <w:marTop w:val="0"/>
      <w:marBottom w:val="0"/>
      <w:divBdr>
        <w:top w:val="none" w:sz="0" w:space="0" w:color="auto"/>
        <w:left w:val="none" w:sz="0" w:space="0" w:color="auto"/>
        <w:bottom w:val="none" w:sz="0" w:space="0" w:color="auto"/>
        <w:right w:val="none" w:sz="0" w:space="0" w:color="auto"/>
      </w:divBdr>
    </w:div>
    <w:div w:id="270474991">
      <w:bodyDiv w:val="1"/>
      <w:marLeft w:val="0"/>
      <w:marRight w:val="0"/>
      <w:marTop w:val="0"/>
      <w:marBottom w:val="0"/>
      <w:divBdr>
        <w:top w:val="none" w:sz="0" w:space="0" w:color="auto"/>
        <w:left w:val="none" w:sz="0" w:space="0" w:color="auto"/>
        <w:bottom w:val="none" w:sz="0" w:space="0" w:color="auto"/>
        <w:right w:val="none" w:sz="0" w:space="0" w:color="auto"/>
      </w:divBdr>
    </w:div>
    <w:div w:id="282349846">
      <w:bodyDiv w:val="1"/>
      <w:marLeft w:val="0"/>
      <w:marRight w:val="0"/>
      <w:marTop w:val="0"/>
      <w:marBottom w:val="0"/>
      <w:divBdr>
        <w:top w:val="none" w:sz="0" w:space="0" w:color="auto"/>
        <w:left w:val="none" w:sz="0" w:space="0" w:color="auto"/>
        <w:bottom w:val="none" w:sz="0" w:space="0" w:color="auto"/>
        <w:right w:val="none" w:sz="0" w:space="0" w:color="auto"/>
      </w:divBdr>
    </w:div>
    <w:div w:id="286083943">
      <w:bodyDiv w:val="1"/>
      <w:marLeft w:val="0"/>
      <w:marRight w:val="0"/>
      <w:marTop w:val="0"/>
      <w:marBottom w:val="0"/>
      <w:divBdr>
        <w:top w:val="none" w:sz="0" w:space="0" w:color="auto"/>
        <w:left w:val="none" w:sz="0" w:space="0" w:color="auto"/>
        <w:bottom w:val="none" w:sz="0" w:space="0" w:color="auto"/>
        <w:right w:val="none" w:sz="0" w:space="0" w:color="auto"/>
      </w:divBdr>
    </w:div>
    <w:div w:id="329135764">
      <w:bodyDiv w:val="1"/>
      <w:marLeft w:val="0"/>
      <w:marRight w:val="0"/>
      <w:marTop w:val="0"/>
      <w:marBottom w:val="0"/>
      <w:divBdr>
        <w:top w:val="none" w:sz="0" w:space="0" w:color="auto"/>
        <w:left w:val="none" w:sz="0" w:space="0" w:color="auto"/>
        <w:bottom w:val="none" w:sz="0" w:space="0" w:color="auto"/>
        <w:right w:val="none" w:sz="0" w:space="0" w:color="auto"/>
      </w:divBdr>
    </w:div>
    <w:div w:id="352850608">
      <w:bodyDiv w:val="1"/>
      <w:marLeft w:val="0"/>
      <w:marRight w:val="0"/>
      <w:marTop w:val="0"/>
      <w:marBottom w:val="0"/>
      <w:divBdr>
        <w:top w:val="none" w:sz="0" w:space="0" w:color="auto"/>
        <w:left w:val="none" w:sz="0" w:space="0" w:color="auto"/>
        <w:bottom w:val="none" w:sz="0" w:space="0" w:color="auto"/>
        <w:right w:val="none" w:sz="0" w:space="0" w:color="auto"/>
      </w:divBdr>
    </w:div>
    <w:div w:id="412580949">
      <w:bodyDiv w:val="1"/>
      <w:marLeft w:val="0"/>
      <w:marRight w:val="0"/>
      <w:marTop w:val="0"/>
      <w:marBottom w:val="0"/>
      <w:divBdr>
        <w:top w:val="none" w:sz="0" w:space="0" w:color="auto"/>
        <w:left w:val="none" w:sz="0" w:space="0" w:color="auto"/>
        <w:bottom w:val="none" w:sz="0" w:space="0" w:color="auto"/>
        <w:right w:val="none" w:sz="0" w:space="0" w:color="auto"/>
      </w:divBdr>
    </w:div>
    <w:div w:id="413169790">
      <w:bodyDiv w:val="1"/>
      <w:marLeft w:val="0"/>
      <w:marRight w:val="0"/>
      <w:marTop w:val="0"/>
      <w:marBottom w:val="0"/>
      <w:divBdr>
        <w:top w:val="none" w:sz="0" w:space="0" w:color="auto"/>
        <w:left w:val="none" w:sz="0" w:space="0" w:color="auto"/>
        <w:bottom w:val="none" w:sz="0" w:space="0" w:color="auto"/>
        <w:right w:val="none" w:sz="0" w:space="0" w:color="auto"/>
      </w:divBdr>
    </w:div>
    <w:div w:id="429861293">
      <w:bodyDiv w:val="1"/>
      <w:marLeft w:val="0"/>
      <w:marRight w:val="0"/>
      <w:marTop w:val="0"/>
      <w:marBottom w:val="0"/>
      <w:divBdr>
        <w:top w:val="none" w:sz="0" w:space="0" w:color="auto"/>
        <w:left w:val="none" w:sz="0" w:space="0" w:color="auto"/>
        <w:bottom w:val="none" w:sz="0" w:space="0" w:color="auto"/>
        <w:right w:val="none" w:sz="0" w:space="0" w:color="auto"/>
      </w:divBdr>
    </w:div>
    <w:div w:id="448210108">
      <w:bodyDiv w:val="1"/>
      <w:marLeft w:val="0"/>
      <w:marRight w:val="0"/>
      <w:marTop w:val="0"/>
      <w:marBottom w:val="0"/>
      <w:divBdr>
        <w:top w:val="none" w:sz="0" w:space="0" w:color="auto"/>
        <w:left w:val="none" w:sz="0" w:space="0" w:color="auto"/>
        <w:bottom w:val="none" w:sz="0" w:space="0" w:color="auto"/>
        <w:right w:val="none" w:sz="0" w:space="0" w:color="auto"/>
      </w:divBdr>
    </w:div>
    <w:div w:id="530263347">
      <w:bodyDiv w:val="1"/>
      <w:marLeft w:val="0"/>
      <w:marRight w:val="0"/>
      <w:marTop w:val="0"/>
      <w:marBottom w:val="0"/>
      <w:divBdr>
        <w:top w:val="none" w:sz="0" w:space="0" w:color="auto"/>
        <w:left w:val="none" w:sz="0" w:space="0" w:color="auto"/>
        <w:bottom w:val="none" w:sz="0" w:space="0" w:color="auto"/>
        <w:right w:val="none" w:sz="0" w:space="0" w:color="auto"/>
      </w:divBdr>
    </w:div>
    <w:div w:id="532883528">
      <w:bodyDiv w:val="1"/>
      <w:marLeft w:val="0"/>
      <w:marRight w:val="0"/>
      <w:marTop w:val="0"/>
      <w:marBottom w:val="0"/>
      <w:divBdr>
        <w:top w:val="none" w:sz="0" w:space="0" w:color="auto"/>
        <w:left w:val="none" w:sz="0" w:space="0" w:color="auto"/>
        <w:bottom w:val="none" w:sz="0" w:space="0" w:color="auto"/>
        <w:right w:val="none" w:sz="0" w:space="0" w:color="auto"/>
      </w:divBdr>
    </w:div>
    <w:div w:id="535850220">
      <w:bodyDiv w:val="1"/>
      <w:marLeft w:val="0"/>
      <w:marRight w:val="0"/>
      <w:marTop w:val="0"/>
      <w:marBottom w:val="0"/>
      <w:divBdr>
        <w:top w:val="none" w:sz="0" w:space="0" w:color="auto"/>
        <w:left w:val="none" w:sz="0" w:space="0" w:color="auto"/>
        <w:bottom w:val="none" w:sz="0" w:space="0" w:color="auto"/>
        <w:right w:val="none" w:sz="0" w:space="0" w:color="auto"/>
      </w:divBdr>
    </w:div>
    <w:div w:id="561336137">
      <w:bodyDiv w:val="1"/>
      <w:marLeft w:val="0"/>
      <w:marRight w:val="0"/>
      <w:marTop w:val="0"/>
      <w:marBottom w:val="0"/>
      <w:divBdr>
        <w:top w:val="none" w:sz="0" w:space="0" w:color="auto"/>
        <w:left w:val="none" w:sz="0" w:space="0" w:color="auto"/>
        <w:bottom w:val="none" w:sz="0" w:space="0" w:color="auto"/>
        <w:right w:val="none" w:sz="0" w:space="0" w:color="auto"/>
      </w:divBdr>
    </w:div>
    <w:div w:id="570509705">
      <w:bodyDiv w:val="1"/>
      <w:marLeft w:val="0"/>
      <w:marRight w:val="0"/>
      <w:marTop w:val="0"/>
      <w:marBottom w:val="0"/>
      <w:divBdr>
        <w:top w:val="none" w:sz="0" w:space="0" w:color="auto"/>
        <w:left w:val="none" w:sz="0" w:space="0" w:color="auto"/>
        <w:bottom w:val="none" w:sz="0" w:space="0" w:color="auto"/>
        <w:right w:val="none" w:sz="0" w:space="0" w:color="auto"/>
      </w:divBdr>
    </w:div>
    <w:div w:id="587009256">
      <w:bodyDiv w:val="1"/>
      <w:marLeft w:val="0"/>
      <w:marRight w:val="0"/>
      <w:marTop w:val="0"/>
      <w:marBottom w:val="0"/>
      <w:divBdr>
        <w:top w:val="none" w:sz="0" w:space="0" w:color="auto"/>
        <w:left w:val="none" w:sz="0" w:space="0" w:color="auto"/>
        <w:bottom w:val="none" w:sz="0" w:space="0" w:color="auto"/>
        <w:right w:val="none" w:sz="0" w:space="0" w:color="auto"/>
      </w:divBdr>
    </w:div>
    <w:div w:id="613946564">
      <w:bodyDiv w:val="1"/>
      <w:marLeft w:val="0"/>
      <w:marRight w:val="0"/>
      <w:marTop w:val="0"/>
      <w:marBottom w:val="0"/>
      <w:divBdr>
        <w:top w:val="none" w:sz="0" w:space="0" w:color="auto"/>
        <w:left w:val="none" w:sz="0" w:space="0" w:color="auto"/>
        <w:bottom w:val="none" w:sz="0" w:space="0" w:color="auto"/>
        <w:right w:val="none" w:sz="0" w:space="0" w:color="auto"/>
      </w:divBdr>
    </w:div>
    <w:div w:id="710770203">
      <w:bodyDiv w:val="1"/>
      <w:marLeft w:val="0"/>
      <w:marRight w:val="0"/>
      <w:marTop w:val="0"/>
      <w:marBottom w:val="0"/>
      <w:divBdr>
        <w:top w:val="none" w:sz="0" w:space="0" w:color="auto"/>
        <w:left w:val="none" w:sz="0" w:space="0" w:color="auto"/>
        <w:bottom w:val="none" w:sz="0" w:space="0" w:color="auto"/>
        <w:right w:val="none" w:sz="0" w:space="0" w:color="auto"/>
      </w:divBdr>
    </w:div>
    <w:div w:id="762145312">
      <w:bodyDiv w:val="1"/>
      <w:marLeft w:val="0"/>
      <w:marRight w:val="0"/>
      <w:marTop w:val="0"/>
      <w:marBottom w:val="0"/>
      <w:divBdr>
        <w:top w:val="none" w:sz="0" w:space="0" w:color="auto"/>
        <w:left w:val="none" w:sz="0" w:space="0" w:color="auto"/>
        <w:bottom w:val="none" w:sz="0" w:space="0" w:color="auto"/>
        <w:right w:val="none" w:sz="0" w:space="0" w:color="auto"/>
      </w:divBdr>
    </w:div>
    <w:div w:id="770008235">
      <w:bodyDiv w:val="1"/>
      <w:marLeft w:val="0"/>
      <w:marRight w:val="0"/>
      <w:marTop w:val="0"/>
      <w:marBottom w:val="0"/>
      <w:divBdr>
        <w:top w:val="none" w:sz="0" w:space="0" w:color="auto"/>
        <w:left w:val="none" w:sz="0" w:space="0" w:color="auto"/>
        <w:bottom w:val="none" w:sz="0" w:space="0" w:color="auto"/>
        <w:right w:val="none" w:sz="0" w:space="0" w:color="auto"/>
      </w:divBdr>
    </w:div>
    <w:div w:id="791289593">
      <w:bodyDiv w:val="1"/>
      <w:marLeft w:val="0"/>
      <w:marRight w:val="0"/>
      <w:marTop w:val="0"/>
      <w:marBottom w:val="0"/>
      <w:divBdr>
        <w:top w:val="none" w:sz="0" w:space="0" w:color="auto"/>
        <w:left w:val="none" w:sz="0" w:space="0" w:color="auto"/>
        <w:bottom w:val="none" w:sz="0" w:space="0" w:color="auto"/>
        <w:right w:val="none" w:sz="0" w:space="0" w:color="auto"/>
      </w:divBdr>
    </w:div>
    <w:div w:id="799224153">
      <w:bodyDiv w:val="1"/>
      <w:marLeft w:val="0"/>
      <w:marRight w:val="0"/>
      <w:marTop w:val="0"/>
      <w:marBottom w:val="0"/>
      <w:divBdr>
        <w:top w:val="none" w:sz="0" w:space="0" w:color="auto"/>
        <w:left w:val="none" w:sz="0" w:space="0" w:color="auto"/>
        <w:bottom w:val="none" w:sz="0" w:space="0" w:color="auto"/>
        <w:right w:val="none" w:sz="0" w:space="0" w:color="auto"/>
      </w:divBdr>
    </w:div>
    <w:div w:id="830831364">
      <w:bodyDiv w:val="1"/>
      <w:marLeft w:val="0"/>
      <w:marRight w:val="0"/>
      <w:marTop w:val="0"/>
      <w:marBottom w:val="0"/>
      <w:divBdr>
        <w:top w:val="none" w:sz="0" w:space="0" w:color="auto"/>
        <w:left w:val="none" w:sz="0" w:space="0" w:color="auto"/>
        <w:bottom w:val="none" w:sz="0" w:space="0" w:color="auto"/>
        <w:right w:val="none" w:sz="0" w:space="0" w:color="auto"/>
      </w:divBdr>
    </w:div>
    <w:div w:id="854999269">
      <w:bodyDiv w:val="1"/>
      <w:marLeft w:val="0"/>
      <w:marRight w:val="0"/>
      <w:marTop w:val="0"/>
      <w:marBottom w:val="0"/>
      <w:divBdr>
        <w:top w:val="none" w:sz="0" w:space="0" w:color="auto"/>
        <w:left w:val="none" w:sz="0" w:space="0" w:color="auto"/>
        <w:bottom w:val="none" w:sz="0" w:space="0" w:color="auto"/>
        <w:right w:val="none" w:sz="0" w:space="0" w:color="auto"/>
      </w:divBdr>
      <w:divsChild>
        <w:div w:id="1611081018">
          <w:marLeft w:val="0"/>
          <w:marRight w:val="0"/>
          <w:marTop w:val="0"/>
          <w:marBottom w:val="0"/>
          <w:divBdr>
            <w:top w:val="none" w:sz="0" w:space="0" w:color="auto"/>
            <w:left w:val="none" w:sz="0" w:space="0" w:color="auto"/>
            <w:bottom w:val="none" w:sz="0" w:space="0" w:color="auto"/>
            <w:right w:val="none" w:sz="0" w:space="0" w:color="auto"/>
          </w:divBdr>
          <w:divsChild>
            <w:div w:id="2070490114">
              <w:marLeft w:val="0"/>
              <w:marRight w:val="0"/>
              <w:marTop w:val="150"/>
              <w:marBottom w:val="0"/>
              <w:divBdr>
                <w:top w:val="none" w:sz="0" w:space="0" w:color="auto"/>
                <w:left w:val="none" w:sz="0" w:space="0" w:color="auto"/>
                <w:bottom w:val="none" w:sz="0" w:space="0" w:color="auto"/>
                <w:right w:val="none" w:sz="0" w:space="0" w:color="auto"/>
              </w:divBdr>
              <w:divsChild>
                <w:div w:id="2121222639">
                  <w:marLeft w:val="0"/>
                  <w:marRight w:val="0"/>
                  <w:marTop w:val="0"/>
                  <w:marBottom w:val="0"/>
                  <w:divBdr>
                    <w:top w:val="none" w:sz="0" w:space="0" w:color="auto"/>
                    <w:left w:val="single" w:sz="6" w:space="0" w:color="CFCFCF"/>
                    <w:bottom w:val="none" w:sz="0" w:space="0" w:color="auto"/>
                    <w:right w:val="single" w:sz="6" w:space="0" w:color="CFCFCF"/>
                  </w:divBdr>
                  <w:divsChild>
                    <w:div w:id="349719761">
                      <w:marLeft w:val="0"/>
                      <w:marRight w:val="0"/>
                      <w:marTop w:val="0"/>
                      <w:marBottom w:val="0"/>
                      <w:divBdr>
                        <w:top w:val="none" w:sz="0" w:space="0" w:color="auto"/>
                        <w:left w:val="none" w:sz="0" w:space="0" w:color="auto"/>
                        <w:bottom w:val="none" w:sz="0" w:space="0" w:color="auto"/>
                        <w:right w:val="none" w:sz="0" w:space="0" w:color="auto"/>
                      </w:divBdr>
                      <w:divsChild>
                        <w:div w:id="1492257807">
                          <w:marLeft w:val="0"/>
                          <w:marRight w:val="0"/>
                          <w:marTop w:val="0"/>
                          <w:marBottom w:val="0"/>
                          <w:divBdr>
                            <w:top w:val="none" w:sz="0" w:space="0" w:color="auto"/>
                            <w:left w:val="none" w:sz="0" w:space="0" w:color="auto"/>
                            <w:bottom w:val="none" w:sz="0" w:space="0" w:color="auto"/>
                            <w:right w:val="none" w:sz="0" w:space="0" w:color="auto"/>
                          </w:divBdr>
                          <w:divsChild>
                            <w:div w:id="13502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6446">
      <w:bodyDiv w:val="1"/>
      <w:marLeft w:val="0"/>
      <w:marRight w:val="0"/>
      <w:marTop w:val="0"/>
      <w:marBottom w:val="0"/>
      <w:divBdr>
        <w:top w:val="none" w:sz="0" w:space="0" w:color="auto"/>
        <w:left w:val="none" w:sz="0" w:space="0" w:color="auto"/>
        <w:bottom w:val="none" w:sz="0" w:space="0" w:color="auto"/>
        <w:right w:val="none" w:sz="0" w:space="0" w:color="auto"/>
      </w:divBdr>
    </w:div>
    <w:div w:id="880752557">
      <w:bodyDiv w:val="1"/>
      <w:marLeft w:val="0"/>
      <w:marRight w:val="0"/>
      <w:marTop w:val="0"/>
      <w:marBottom w:val="0"/>
      <w:divBdr>
        <w:top w:val="none" w:sz="0" w:space="0" w:color="auto"/>
        <w:left w:val="none" w:sz="0" w:space="0" w:color="auto"/>
        <w:bottom w:val="none" w:sz="0" w:space="0" w:color="auto"/>
        <w:right w:val="none" w:sz="0" w:space="0" w:color="auto"/>
      </w:divBdr>
    </w:div>
    <w:div w:id="888372613">
      <w:bodyDiv w:val="1"/>
      <w:marLeft w:val="0"/>
      <w:marRight w:val="0"/>
      <w:marTop w:val="0"/>
      <w:marBottom w:val="0"/>
      <w:divBdr>
        <w:top w:val="none" w:sz="0" w:space="0" w:color="auto"/>
        <w:left w:val="none" w:sz="0" w:space="0" w:color="auto"/>
        <w:bottom w:val="none" w:sz="0" w:space="0" w:color="auto"/>
        <w:right w:val="none" w:sz="0" w:space="0" w:color="auto"/>
      </w:divBdr>
      <w:divsChild>
        <w:div w:id="1806310356">
          <w:marLeft w:val="0"/>
          <w:marRight w:val="0"/>
          <w:marTop w:val="720"/>
          <w:marBottom w:val="720"/>
          <w:divBdr>
            <w:top w:val="none" w:sz="0" w:space="0" w:color="auto"/>
            <w:left w:val="none" w:sz="0" w:space="0" w:color="auto"/>
            <w:bottom w:val="none" w:sz="0" w:space="0" w:color="auto"/>
            <w:right w:val="none" w:sz="0" w:space="0" w:color="auto"/>
          </w:divBdr>
          <w:divsChild>
            <w:div w:id="981930939">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891313139">
      <w:bodyDiv w:val="1"/>
      <w:marLeft w:val="0"/>
      <w:marRight w:val="0"/>
      <w:marTop w:val="0"/>
      <w:marBottom w:val="0"/>
      <w:divBdr>
        <w:top w:val="none" w:sz="0" w:space="0" w:color="auto"/>
        <w:left w:val="none" w:sz="0" w:space="0" w:color="auto"/>
        <w:bottom w:val="none" w:sz="0" w:space="0" w:color="auto"/>
        <w:right w:val="none" w:sz="0" w:space="0" w:color="auto"/>
      </w:divBdr>
    </w:div>
    <w:div w:id="905458680">
      <w:bodyDiv w:val="1"/>
      <w:marLeft w:val="0"/>
      <w:marRight w:val="0"/>
      <w:marTop w:val="0"/>
      <w:marBottom w:val="0"/>
      <w:divBdr>
        <w:top w:val="none" w:sz="0" w:space="0" w:color="auto"/>
        <w:left w:val="none" w:sz="0" w:space="0" w:color="auto"/>
        <w:bottom w:val="none" w:sz="0" w:space="0" w:color="auto"/>
        <w:right w:val="none" w:sz="0" w:space="0" w:color="auto"/>
      </w:divBdr>
      <w:divsChild>
        <w:div w:id="661203104">
          <w:marLeft w:val="0"/>
          <w:marRight w:val="0"/>
          <w:marTop w:val="0"/>
          <w:marBottom w:val="0"/>
          <w:divBdr>
            <w:top w:val="none" w:sz="0" w:space="0" w:color="auto"/>
            <w:left w:val="none" w:sz="0" w:space="0" w:color="auto"/>
            <w:bottom w:val="none" w:sz="0" w:space="0" w:color="auto"/>
            <w:right w:val="none" w:sz="0" w:space="0" w:color="auto"/>
          </w:divBdr>
          <w:divsChild>
            <w:div w:id="1563952112">
              <w:marLeft w:val="0"/>
              <w:marRight w:val="0"/>
              <w:marTop w:val="0"/>
              <w:marBottom w:val="0"/>
              <w:divBdr>
                <w:top w:val="none" w:sz="0" w:space="0" w:color="auto"/>
                <w:left w:val="none" w:sz="0" w:space="0" w:color="auto"/>
                <w:bottom w:val="none" w:sz="0" w:space="0" w:color="auto"/>
                <w:right w:val="none" w:sz="0" w:space="0" w:color="auto"/>
              </w:divBdr>
              <w:divsChild>
                <w:div w:id="126550148">
                  <w:marLeft w:val="0"/>
                  <w:marRight w:val="0"/>
                  <w:marTop w:val="0"/>
                  <w:marBottom w:val="0"/>
                  <w:divBdr>
                    <w:top w:val="none" w:sz="0" w:space="0" w:color="auto"/>
                    <w:left w:val="none" w:sz="0" w:space="0" w:color="auto"/>
                    <w:bottom w:val="none" w:sz="0" w:space="0" w:color="auto"/>
                    <w:right w:val="none" w:sz="0" w:space="0" w:color="auto"/>
                  </w:divBdr>
                  <w:divsChild>
                    <w:div w:id="271012890">
                      <w:marLeft w:val="0"/>
                      <w:marRight w:val="0"/>
                      <w:marTop w:val="0"/>
                      <w:marBottom w:val="0"/>
                      <w:divBdr>
                        <w:top w:val="none" w:sz="0" w:space="0" w:color="auto"/>
                        <w:left w:val="none" w:sz="0" w:space="0" w:color="auto"/>
                        <w:bottom w:val="none" w:sz="0" w:space="0" w:color="auto"/>
                        <w:right w:val="none" w:sz="0" w:space="0" w:color="auto"/>
                      </w:divBdr>
                    </w:div>
                    <w:div w:id="18896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52807">
      <w:bodyDiv w:val="1"/>
      <w:marLeft w:val="0"/>
      <w:marRight w:val="0"/>
      <w:marTop w:val="0"/>
      <w:marBottom w:val="0"/>
      <w:divBdr>
        <w:top w:val="none" w:sz="0" w:space="0" w:color="auto"/>
        <w:left w:val="none" w:sz="0" w:space="0" w:color="auto"/>
        <w:bottom w:val="none" w:sz="0" w:space="0" w:color="auto"/>
        <w:right w:val="none" w:sz="0" w:space="0" w:color="auto"/>
      </w:divBdr>
    </w:div>
    <w:div w:id="985814196">
      <w:bodyDiv w:val="1"/>
      <w:marLeft w:val="0"/>
      <w:marRight w:val="0"/>
      <w:marTop w:val="0"/>
      <w:marBottom w:val="0"/>
      <w:divBdr>
        <w:top w:val="none" w:sz="0" w:space="0" w:color="auto"/>
        <w:left w:val="none" w:sz="0" w:space="0" w:color="auto"/>
        <w:bottom w:val="none" w:sz="0" w:space="0" w:color="auto"/>
        <w:right w:val="none" w:sz="0" w:space="0" w:color="auto"/>
      </w:divBdr>
    </w:div>
    <w:div w:id="988946697">
      <w:bodyDiv w:val="1"/>
      <w:marLeft w:val="0"/>
      <w:marRight w:val="0"/>
      <w:marTop w:val="0"/>
      <w:marBottom w:val="0"/>
      <w:divBdr>
        <w:top w:val="none" w:sz="0" w:space="0" w:color="auto"/>
        <w:left w:val="none" w:sz="0" w:space="0" w:color="auto"/>
        <w:bottom w:val="none" w:sz="0" w:space="0" w:color="auto"/>
        <w:right w:val="none" w:sz="0" w:space="0" w:color="auto"/>
      </w:divBdr>
      <w:divsChild>
        <w:div w:id="1297565199">
          <w:marLeft w:val="0"/>
          <w:marRight w:val="0"/>
          <w:marTop w:val="0"/>
          <w:marBottom w:val="0"/>
          <w:divBdr>
            <w:top w:val="none" w:sz="0" w:space="0" w:color="auto"/>
            <w:left w:val="none" w:sz="0" w:space="0" w:color="auto"/>
            <w:bottom w:val="none" w:sz="0" w:space="0" w:color="auto"/>
            <w:right w:val="none" w:sz="0" w:space="0" w:color="auto"/>
          </w:divBdr>
          <w:divsChild>
            <w:div w:id="516164424">
              <w:marLeft w:val="0"/>
              <w:marRight w:val="0"/>
              <w:marTop w:val="150"/>
              <w:marBottom w:val="0"/>
              <w:divBdr>
                <w:top w:val="none" w:sz="0" w:space="0" w:color="auto"/>
                <w:left w:val="none" w:sz="0" w:space="0" w:color="auto"/>
                <w:bottom w:val="none" w:sz="0" w:space="0" w:color="auto"/>
                <w:right w:val="none" w:sz="0" w:space="0" w:color="auto"/>
              </w:divBdr>
              <w:divsChild>
                <w:div w:id="296297488">
                  <w:marLeft w:val="0"/>
                  <w:marRight w:val="0"/>
                  <w:marTop w:val="0"/>
                  <w:marBottom w:val="0"/>
                  <w:divBdr>
                    <w:top w:val="none" w:sz="0" w:space="0" w:color="auto"/>
                    <w:left w:val="single" w:sz="6" w:space="0" w:color="CFCFCF"/>
                    <w:bottom w:val="none" w:sz="0" w:space="0" w:color="auto"/>
                    <w:right w:val="single" w:sz="6" w:space="0" w:color="CFCFCF"/>
                  </w:divBdr>
                  <w:divsChild>
                    <w:div w:id="595556764">
                      <w:marLeft w:val="0"/>
                      <w:marRight w:val="0"/>
                      <w:marTop w:val="0"/>
                      <w:marBottom w:val="0"/>
                      <w:divBdr>
                        <w:top w:val="none" w:sz="0" w:space="0" w:color="auto"/>
                        <w:left w:val="none" w:sz="0" w:space="0" w:color="auto"/>
                        <w:bottom w:val="none" w:sz="0" w:space="0" w:color="auto"/>
                        <w:right w:val="none" w:sz="0" w:space="0" w:color="auto"/>
                      </w:divBdr>
                      <w:divsChild>
                        <w:div w:id="911235940">
                          <w:marLeft w:val="0"/>
                          <w:marRight w:val="0"/>
                          <w:marTop w:val="0"/>
                          <w:marBottom w:val="0"/>
                          <w:divBdr>
                            <w:top w:val="none" w:sz="0" w:space="0" w:color="auto"/>
                            <w:left w:val="none" w:sz="0" w:space="0" w:color="auto"/>
                            <w:bottom w:val="none" w:sz="0" w:space="0" w:color="auto"/>
                            <w:right w:val="none" w:sz="0" w:space="0" w:color="auto"/>
                          </w:divBdr>
                          <w:divsChild>
                            <w:div w:id="1264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50647">
      <w:bodyDiv w:val="1"/>
      <w:marLeft w:val="0"/>
      <w:marRight w:val="0"/>
      <w:marTop w:val="0"/>
      <w:marBottom w:val="0"/>
      <w:divBdr>
        <w:top w:val="none" w:sz="0" w:space="0" w:color="auto"/>
        <w:left w:val="none" w:sz="0" w:space="0" w:color="auto"/>
        <w:bottom w:val="none" w:sz="0" w:space="0" w:color="auto"/>
        <w:right w:val="none" w:sz="0" w:space="0" w:color="auto"/>
      </w:divBdr>
    </w:div>
    <w:div w:id="1042903053">
      <w:bodyDiv w:val="1"/>
      <w:marLeft w:val="0"/>
      <w:marRight w:val="0"/>
      <w:marTop w:val="0"/>
      <w:marBottom w:val="0"/>
      <w:divBdr>
        <w:top w:val="none" w:sz="0" w:space="0" w:color="auto"/>
        <w:left w:val="none" w:sz="0" w:space="0" w:color="auto"/>
        <w:bottom w:val="none" w:sz="0" w:space="0" w:color="auto"/>
        <w:right w:val="none" w:sz="0" w:space="0" w:color="auto"/>
      </w:divBdr>
    </w:div>
    <w:div w:id="1045451362">
      <w:bodyDiv w:val="1"/>
      <w:marLeft w:val="0"/>
      <w:marRight w:val="0"/>
      <w:marTop w:val="0"/>
      <w:marBottom w:val="0"/>
      <w:divBdr>
        <w:top w:val="none" w:sz="0" w:space="0" w:color="auto"/>
        <w:left w:val="none" w:sz="0" w:space="0" w:color="auto"/>
        <w:bottom w:val="none" w:sz="0" w:space="0" w:color="auto"/>
        <w:right w:val="none" w:sz="0" w:space="0" w:color="auto"/>
      </w:divBdr>
    </w:div>
    <w:div w:id="1048652882">
      <w:bodyDiv w:val="1"/>
      <w:marLeft w:val="0"/>
      <w:marRight w:val="0"/>
      <w:marTop w:val="0"/>
      <w:marBottom w:val="0"/>
      <w:divBdr>
        <w:top w:val="none" w:sz="0" w:space="0" w:color="auto"/>
        <w:left w:val="none" w:sz="0" w:space="0" w:color="auto"/>
        <w:bottom w:val="none" w:sz="0" w:space="0" w:color="auto"/>
        <w:right w:val="none" w:sz="0" w:space="0" w:color="auto"/>
      </w:divBdr>
    </w:div>
    <w:div w:id="1071073791">
      <w:bodyDiv w:val="1"/>
      <w:marLeft w:val="0"/>
      <w:marRight w:val="0"/>
      <w:marTop w:val="0"/>
      <w:marBottom w:val="0"/>
      <w:divBdr>
        <w:top w:val="none" w:sz="0" w:space="0" w:color="auto"/>
        <w:left w:val="none" w:sz="0" w:space="0" w:color="auto"/>
        <w:bottom w:val="none" w:sz="0" w:space="0" w:color="auto"/>
        <w:right w:val="none" w:sz="0" w:space="0" w:color="auto"/>
      </w:divBdr>
    </w:div>
    <w:div w:id="1085616327">
      <w:bodyDiv w:val="1"/>
      <w:marLeft w:val="0"/>
      <w:marRight w:val="0"/>
      <w:marTop w:val="0"/>
      <w:marBottom w:val="0"/>
      <w:divBdr>
        <w:top w:val="none" w:sz="0" w:space="0" w:color="auto"/>
        <w:left w:val="none" w:sz="0" w:space="0" w:color="auto"/>
        <w:bottom w:val="none" w:sz="0" w:space="0" w:color="auto"/>
        <w:right w:val="none" w:sz="0" w:space="0" w:color="auto"/>
      </w:divBdr>
    </w:div>
    <w:div w:id="1110122047">
      <w:bodyDiv w:val="1"/>
      <w:marLeft w:val="0"/>
      <w:marRight w:val="0"/>
      <w:marTop w:val="0"/>
      <w:marBottom w:val="0"/>
      <w:divBdr>
        <w:top w:val="none" w:sz="0" w:space="0" w:color="auto"/>
        <w:left w:val="none" w:sz="0" w:space="0" w:color="auto"/>
        <w:bottom w:val="none" w:sz="0" w:space="0" w:color="auto"/>
        <w:right w:val="none" w:sz="0" w:space="0" w:color="auto"/>
      </w:divBdr>
    </w:div>
    <w:div w:id="1156260060">
      <w:bodyDiv w:val="1"/>
      <w:marLeft w:val="0"/>
      <w:marRight w:val="0"/>
      <w:marTop w:val="0"/>
      <w:marBottom w:val="0"/>
      <w:divBdr>
        <w:top w:val="none" w:sz="0" w:space="0" w:color="auto"/>
        <w:left w:val="none" w:sz="0" w:space="0" w:color="auto"/>
        <w:bottom w:val="none" w:sz="0" w:space="0" w:color="auto"/>
        <w:right w:val="none" w:sz="0" w:space="0" w:color="auto"/>
      </w:divBdr>
    </w:div>
    <w:div w:id="1162619007">
      <w:bodyDiv w:val="1"/>
      <w:marLeft w:val="0"/>
      <w:marRight w:val="0"/>
      <w:marTop w:val="0"/>
      <w:marBottom w:val="0"/>
      <w:divBdr>
        <w:top w:val="none" w:sz="0" w:space="0" w:color="auto"/>
        <w:left w:val="none" w:sz="0" w:space="0" w:color="auto"/>
        <w:bottom w:val="none" w:sz="0" w:space="0" w:color="auto"/>
        <w:right w:val="none" w:sz="0" w:space="0" w:color="auto"/>
      </w:divBdr>
    </w:div>
    <w:div w:id="1163080663">
      <w:bodyDiv w:val="1"/>
      <w:marLeft w:val="0"/>
      <w:marRight w:val="0"/>
      <w:marTop w:val="0"/>
      <w:marBottom w:val="0"/>
      <w:divBdr>
        <w:top w:val="none" w:sz="0" w:space="0" w:color="auto"/>
        <w:left w:val="none" w:sz="0" w:space="0" w:color="auto"/>
        <w:bottom w:val="none" w:sz="0" w:space="0" w:color="auto"/>
        <w:right w:val="none" w:sz="0" w:space="0" w:color="auto"/>
      </w:divBdr>
    </w:div>
    <w:div w:id="1178273687">
      <w:bodyDiv w:val="1"/>
      <w:marLeft w:val="0"/>
      <w:marRight w:val="0"/>
      <w:marTop w:val="0"/>
      <w:marBottom w:val="0"/>
      <w:divBdr>
        <w:top w:val="none" w:sz="0" w:space="0" w:color="auto"/>
        <w:left w:val="none" w:sz="0" w:space="0" w:color="auto"/>
        <w:bottom w:val="none" w:sz="0" w:space="0" w:color="auto"/>
        <w:right w:val="none" w:sz="0" w:space="0" w:color="auto"/>
      </w:divBdr>
    </w:div>
    <w:div w:id="1270157681">
      <w:bodyDiv w:val="1"/>
      <w:marLeft w:val="0"/>
      <w:marRight w:val="0"/>
      <w:marTop w:val="0"/>
      <w:marBottom w:val="0"/>
      <w:divBdr>
        <w:top w:val="none" w:sz="0" w:space="0" w:color="auto"/>
        <w:left w:val="none" w:sz="0" w:space="0" w:color="auto"/>
        <w:bottom w:val="none" w:sz="0" w:space="0" w:color="auto"/>
        <w:right w:val="none" w:sz="0" w:space="0" w:color="auto"/>
      </w:divBdr>
    </w:div>
    <w:div w:id="1290549367">
      <w:bodyDiv w:val="1"/>
      <w:marLeft w:val="0"/>
      <w:marRight w:val="0"/>
      <w:marTop w:val="0"/>
      <w:marBottom w:val="0"/>
      <w:divBdr>
        <w:top w:val="none" w:sz="0" w:space="0" w:color="auto"/>
        <w:left w:val="none" w:sz="0" w:space="0" w:color="auto"/>
        <w:bottom w:val="none" w:sz="0" w:space="0" w:color="auto"/>
        <w:right w:val="none" w:sz="0" w:space="0" w:color="auto"/>
      </w:divBdr>
    </w:div>
    <w:div w:id="1302536023">
      <w:bodyDiv w:val="1"/>
      <w:marLeft w:val="0"/>
      <w:marRight w:val="0"/>
      <w:marTop w:val="0"/>
      <w:marBottom w:val="0"/>
      <w:divBdr>
        <w:top w:val="none" w:sz="0" w:space="0" w:color="auto"/>
        <w:left w:val="none" w:sz="0" w:space="0" w:color="auto"/>
        <w:bottom w:val="none" w:sz="0" w:space="0" w:color="auto"/>
        <w:right w:val="none" w:sz="0" w:space="0" w:color="auto"/>
      </w:divBdr>
    </w:div>
    <w:div w:id="1322537680">
      <w:bodyDiv w:val="1"/>
      <w:marLeft w:val="0"/>
      <w:marRight w:val="0"/>
      <w:marTop w:val="0"/>
      <w:marBottom w:val="0"/>
      <w:divBdr>
        <w:top w:val="none" w:sz="0" w:space="0" w:color="auto"/>
        <w:left w:val="none" w:sz="0" w:space="0" w:color="auto"/>
        <w:bottom w:val="none" w:sz="0" w:space="0" w:color="auto"/>
        <w:right w:val="none" w:sz="0" w:space="0" w:color="auto"/>
      </w:divBdr>
      <w:divsChild>
        <w:div w:id="2032220289">
          <w:marLeft w:val="0"/>
          <w:marRight w:val="0"/>
          <w:marTop w:val="720"/>
          <w:marBottom w:val="720"/>
          <w:divBdr>
            <w:top w:val="none" w:sz="0" w:space="0" w:color="auto"/>
            <w:left w:val="none" w:sz="0" w:space="0" w:color="auto"/>
            <w:bottom w:val="none" w:sz="0" w:space="0" w:color="auto"/>
            <w:right w:val="none" w:sz="0" w:space="0" w:color="auto"/>
          </w:divBdr>
          <w:divsChild>
            <w:div w:id="1205480995">
              <w:marLeft w:val="0"/>
              <w:marRight w:val="0"/>
              <w:marTop w:val="0"/>
              <w:marBottom w:val="0"/>
              <w:divBdr>
                <w:top w:val="none" w:sz="0" w:space="0" w:color="auto"/>
                <w:left w:val="none" w:sz="0" w:space="0" w:color="auto"/>
                <w:bottom w:val="none" w:sz="0" w:space="0" w:color="auto"/>
                <w:right w:val="none" w:sz="0" w:space="0" w:color="auto"/>
              </w:divBdr>
              <w:divsChild>
                <w:div w:id="2074114859">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336423997">
      <w:bodyDiv w:val="1"/>
      <w:marLeft w:val="0"/>
      <w:marRight w:val="0"/>
      <w:marTop w:val="0"/>
      <w:marBottom w:val="0"/>
      <w:divBdr>
        <w:top w:val="none" w:sz="0" w:space="0" w:color="auto"/>
        <w:left w:val="none" w:sz="0" w:space="0" w:color="auto"/>
        <w:bottom w:val="none" w:sz="0" w:space="0" w:color="auto"/>
        <w:right w:val="none" w:sz="0" w:space="0" w:color="auto"/>
      </w:divBdr>
    </w:div>
    <w:div w:id="1337926199">
      <w:bodyDiv w:val="1"/>
      <w:marLeft w:val="0"/>
      <w:marRight w:val="0"/>
      <w:marTop w:val="0"/>
      <w:marBottom w:val="0"/>
      <w:divBdr>
        <w:top w:val="none" w:sz="0" w:space="0" w:color="auto"/>
        <w:left w:val="none" w:sz="0" w:space="0" w:color="auto"/>
        <w:bottom w:val="none" w:sz="0" w:space="0" w:color="auto"/>
        <w:right w:val="none" w:sz="0" w:space="0" w:color="auto"/>
      </w:divBdr>
    </w:div>
    <w:div w:id="1346900123">
      <w:bodyDiv w:val="1"/>
      <w:marLeft w:val="0"/>
      <w:marRight w:val="0"/>
      <w:marTop w:val="0"/>
      <w:marBottom w:val="0"/>
      <w:divBdr>
        <w:top w:val="none" w:sz="0" w:space="0" w:color="auto"/>
        <w:left w:val="none" w:sz="0" w:space="0" w:color="auto"/>
        <w:bottom w:val="none" w:sz="0" w:space="0" w:color="auto"/>
        <w:right w:val="none" w:sz="0" w:space="0" w:color="auto"/>
      </w:divBdr>
    </w:div>
    <w:div w:id="1377777385">
      <w:bodyDiv w:val="1"/>
      <w:marLeft w:val="0"/>
      <w:marRight w:val="0"/>
      <w:marTop w:val="0"/>
      <w:marBottom w:val="0"/>
      <w:divBdr>
        <w:top w:val="none" w:sz="0" w:space="0" w:color="auto"/>
        <w:left w:val="none" w:sz="0" w:space="0" w:color="auto"/>
        <w:bottom w:val="none" w:sz="0" w:space="0" w:color="auto"/>
        <w:right w:val="none" w:sz="0" w:space="0" w:color="auto"/>
      </w:divBdr>
    </w:div>
    <w:div w:id="1410734746">
      <w:bodyDiv w:val="1"/>
      <w:marLeft w:val="0"/>
      <w:marRight w:val="0"/>
      <w:marTop w:val="0"/>
      <w:marBottom w:val="0"/>
      <w:divBdr>
        <w:top w:val="none" w:sz="0" w:space="0" w:color="auto"/>
        <w:left w:val="none" w:sz="0" w:space="0" w:color="auto"/>
        <w:bottom w:val="none" w:sz="0" w:space="0" w:color="auto"/>
        <w:right w:val="none" w:sz="0" w:space="0" w:color="auto"/>
      </w:divBdr>
    </w:div>
    <w:div w:id="1415009085">
      <w:bodyDiv w:val="1"/>
      <w:marLeft w:val="0"/>
      <w:marRight w:val="0"/>
      <w:marTop w:val="0"/>
      <w:marBottom w:val="0"/>
      <w:divBdr>
        <w:top w:val="none" w:sz="0" w:space="0" w:color="auto"/>
        <w:left w:val="none" w:sz="0" w:space="0" w:color="auto"/>
        <w:bottom w:val="none" w:sz="0" w:space="0" w:color="auto"/>
        <w:right w:val="none" w:sz="0" w:space="0" w:color="auto"/>
      </w:divBdr>
    </w:div>
    <w:div w:id="1451512116">
      <w:bodyDiv w:val="1"/>
      <w:marLeft w:val="0"/>
      <w:marRight w:val="0"/>
      <w:marTop w:val="0"/>
      <w:marBottom w:val="0"/>
      <w:divBdr>
        <w:top w:val="none" w:sz="0" w:space="0" w:color="auto"/>
        <w:left w:val="none" w:sz="0" w:space="0" w:color="auto"/>
        <w:bottom w:val="none" w:sz="0" w:space="0" w:color="auto"/>
        <w:right w:val="none" w:sz="0" w:space="0" w:color="auto"/>
      </w:divBdr>
    </w:div>
    <w:div w:id="1539781514">
      <w:bodyDiv w:val="1"/>
      <w:marLeft w:val="0"/>
      <w:marRight w:val="0"/>
      <w:marTop w:val="0"/>
      <w:marBottom w:val="0"/>
      <w:divBdr>
        <w:top w:val="none" w:sz="0" w:space="0" w:color="auto"/>
        <w:left w:val="none" w:sz="0" w:space="0" w:color="auto"/>
        <w:bottom w:val="none" w:sz="0" w:space="0" w:color="auto"/>
        <w:right w:val="none" w:sz="0" w:space="0" w:color="auto"/>
      </w:divBdr>
    </w:div>
    <w:div w:id="1560626825">
      <w:bodyDiv w:val="1"/>
      <w:marLeft w:val="0"/>
      <w:marRight w:val="0"/>
      <w:marTop w:val="0"/>
      <w:marBottom w:val="0"/>
      <w:divBdr>
        <w:top w:val="none" w:sz="0" w:space="0" w:color="auto"/>
        <w:left w:val="none" w:sz="0" w:space="0" w:color="auto"/>
        <w:bottom w:val="none" w:sz="0" w:space="0" w:color="auto"/>
        <w:right w:val="none" w:sz="0" w:space="0" w:color="auto"/>
      </w:divBdr>
    </w:div>
    <w:div w:id="1647586081">
      <w:bodyDiv w:val="1"/>
      <w:marLeft w:val="0"/>
      <w:marRight w:val="0"/>
      <w:marTop w:val="0"/>
      <w:marBottom w:val="0"/>
      <w:divBdr>
        <w:top w:val="none" w:sz="0" w:space="0" w:color="auto"/>
        <w:left w:val="none" w:sz="0" w:space="0" w:color="auto"/>
        <w:bottom w:val="none" w:sz="0" w:space="0" w:color="auto"/>
        <w:right w:val="none" w:sz="0" w:space="0" w:color="auto"/>
      </w:divBdr>
    </w:div>
    <w:div w:id="1647776229">
      <w:bodyDiv w:val="1"/>
      <w:marLeft w:val="0"/>
      <w:marRight w:val="0"/>
      <w:marTop w:val="0"/>
      <w:marBottom w:val="0"/>
      <w:divBdr>
        <w:top w:val="none" w:sz="0" w:space="0" w:color="auto"/>
        <w:left w:val="none" w:sz="0" w:space="0" w:color="auto"/>
        <w:bottom w:val="none" w:sz="0" w:space="0" w:color="auto"/>
        <w:right w:val="none" w:sz="0" w:space="0" w:color="auto"/>
      </w:divBdr>
    </w:div>
    <w:div w:id="1648247199">
      <w:bodyDiv w:val="1"/>
      <w:marLeft w:val="0"/>
      <w:marRight w:val="0"/>
      <w:marTop w:val="0"/>
      <w:marBottom w:val="0"/>
      <w:divBdr>
        <w:top w:val="none" w:sz="0" w:space="0" w:color="auto"/>
        <w:left w:val="none" w:sz="0" w:space="0" w:color="auto"/>
        <w:bottom w:val="none" w:sz="0" w:space="0" w:color="auto"/>
        <w:right w:val="none" w:sz="0" w:space="0" w:color="auto"/>
      </w:divBdr>
      <w:divsChild>
        <w:div w:id="1404371417">
          <w:marLeft w:val="0"/>
          <w:marRight w:val="0"/>
          <w:marTop w:val="0"/>
          <w:marBottom w:val="0"/>
          <w:divBdr>
            <w:top w:val="none" w:sz="0" w:space="0" w:color="auto"/>
            <w:left w:val="none" w:sz="0" w:space="0" w:color="auto"/>
            <w:bottom w:val="none" w:sz="0" w:space="0" w:color="auto"/>
            <w:right w:val="none" w:sz="0" w:space="0" w:color="auto"/>
          </w:divBdr>
          <w:divsChild>
            <w:div w:id="1042680371">
              <w:marLeft w:val="0"/>
              <w:marRight w:val="0"/>
              <w:marTop w:val="136"/>
              <w:marBottom w:val="0"/>
              <w:divBdr>
                <w:top w:val="none" w:sz="0" w:space="0" w:color="auto"/>
                <w:left w:val="none" w:sz="0" w:space="0" w:color="auto"/>
                <w:bottom w:val="none" w:sz="0" w:space="0" w:color="auto"/>
                <w:right w:val="none" w:sz="0" w:space="0" w:color="auto"/>
              </w:divBdr>
              <w:divsChild>
                <w:div w:id="573930289">
                  <w:marLeft w:val="0"/>
                  <w:marRight w:val="0"/>
                  <w:marTop w:val="0"/>
                  <w:marBottom w:val="0"/>
                  <w:divBdr>
                    <w:top w:val="none" w:sz="0" w:space="0" w:color="auto"/>
                    <w:left w:val="single" w:sz="6" w:space="0" w:color="CFCFCF"/>
                    <w:bottom w:val="none" w:sz="0" w:space="0" w:color="auto"/>
                    <w:right w:val="single" w:sz="6" w:space="0" w:color="CFCFCF"/>
                  </w:divBdr>
                  <w:divsChild>
                    <w:div w:id="408769216">
                      <w:marLeft w:val="0"/>
                      <w:marRight w:val="0"/>
                      <w:marTop w:val="0"/>
                      <w:marBottom w:val="0"/>
                      <w:divBdr>
                        <w:top w:val="none" w:sz="0" w:space="0" w:color="auto"/>
                        <w:left w:val="none" w:sz="0" w:space="0" w:color="auto"/>
                        <w:bottom w:val="none" w:sz="0" w:space="0" w:color="auto"/>
                        <w:right w:val="none" w:sz="0" w:space="0" w:color="auto"/>
                      </w:divBdr>
                      <w:divsChild>
                        <w:div w:id="117335114">
                          <w:marLeft w:val="0"/>
                          <w:marRight w:val="0"/>
                          <w:marTop w:val="0"/>
                          <w:marBottom w:val="0"/>
                          <w:divBdr>
                            <w:top w:val="none" w:sz="0" w:space="0" w:color="auto"/>
                            <w:left w:val="none" w:sz="0" w:space="0" w:color="auto"/>
                            <w:bottom w:val="none" w:sz="0" w:space="0" w:color="auto"/>
                            <w:right w:val="none" w:sz="0" w:space="0" w:color="auto"/>
                          </w:divBdr>
                          <w:divsChild>
                            <w:div w:id="10114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78532">
      <w:bodyDiv w:val="1"/>
      <w:marLeft w:val="0"/>
      <w:marRight w:val="0"/>
      <w:marTop w:val="0"/>
      <w:marBottom w:val="0"/>
      <w:divBdr>
        <w:top w:val="none" w:sz="0" w:space="0" w:color="auto"/>
        <w:left w:val="none" w:sz="0" w:space="0" w:color="auto"/>
        <w:bottom w:val="none" w:sz="0" w:space="0" w:color="auto"/>
        <w:right w:val="none" w:sz="0" w:space="0" w:color="auto"/>
      </w:divBdr>
    </w:div>
    <w:div w:id="1753312588">
      <w:bodyDiv w:val="1"/>
      <w:marLeft w:val="0"/>
      <w:marRight w:val="0"/>
      <w:marTop w:val="0"/>
      <w:marBottom w:val="0"/>
      <w:divBdr>
        <w:top w:val="none" w:sz="0" w:space="0" w:color="auto"/>
        <w:left w:val="none" w:sz="0" w:space="0" w:color="auto"/>
        <w:bottom w:val="none" w:sz="0" w:space="0" w:color="auto"/>
        <w:right w:val="none" w:sz="0" w:space="0" w:color="auto"/>
      </w:divBdr>
      <w:divsChild>
        <w:div w:id="689381324">
          <w:marLeft w:val="0"/>
          <w:marRight w:val="0"/>
          <w:marTop w:val="720"/>
          <w:marBottom w:val="720"/>
          <w:divBdr>
            <w:top w:val="none" w:sz="0" w:space="0" w:color="auto"/>
            <w:left w:val="none" w:sz="0" w:space="0" w:color="auto"/>
            <w:bottom w:val="none" w:sz="0" w:space="0" w:color="auto"/>
            <w:right w:val="none" w:sz="0" w:space="0" w:color="auto"/>
          </w:divBdr>
          <w:divsChild>
            <w:div w:id="1206136199">
              <w:marLeft w:val="0"/>
              <w:marRight w:val="0"/>
              <w:marTop w:val="0"/>
              <w:marBottom w:val="0"/>
              <w:divBdr>
                <w:top w:val="none" w:sz="0" w:space="0" w:color="auto"/>
                <w:left w:val="none" w:sz="0" w:space="0" w:color="auto"/>
                <w:bottom w:val="none" w:sz="0" w:space="0" w:color="auto"/>
                <w:right w:val="none" w:sz="0" w:space="0" w:color="auto"/>
              </w:divBdr>
              <w:divsChild>
                <w:div w:id="1280911371">
                  <w:marLeft w:val="0"/>
                  <w:marRight w:val="0"/>
                  <w:marTop w:val="0"/>
                  <w:marBottom w:val="0"/>
                  <w:divBdr>
                    <w:top w:val="none" w:sz="0" w:space="0" w:color="auto"/>
                    <w:left w:val="single" w:sz="6" w:space="0" w:color="AAAAAA"/>
                    <w:bottom w:val="single" w:sz="6" w:space="12" w:color="AAAAAA"/>
                    <w:right w:val="single" w:sz="6" w:space="0" w:color="AAAAAA"/>
                  </w:divBdr>
                </w:div>
              </w:divsChild>
            </w:div>
          </w:divsChild>
        </w:div>
      </w:divsChild>
    </w:div>
    <w:div w:id="1767457914">
      <w:bodyDiv w:val="1"/>
      <w:marLeft w:val="0"/>
      <w:marRight w:val="0"/>
      <w:marTop w:val="0"/>
      <w:marBottom w:val="0"/>
      <w:divBdr>
        <w:top w:val="none" w:sz="0" w:space="0" w:color="auto"/>
        <w:left w:val="none" w:sz="0" w:space="0" w:color="auto"/>
        <w:bottom w:val="none" w:sz="0" w:space="0" w:color="auto"/>
        <w:right w:val="none" w:sz="0" w:space="0" w:color="auto"/>
      </w:divBdr>
    </w:div>
    <w:div w:id="1769614056">
      <w:bodyDiv w:val="1"/>
      <w:marLeft w:val="0"/>
      <w:marRight w:val="0"/>
      <w:marTop w:val="0"/>
      <w:marBottom w:val="0"/>
      <w:divBdr>
        <w:top w:val="none" w:sz="0" w:space="0" w:color="auto"/>
        <w:left w:val="none" w:sz="0" w:space="0" w:color="auto"/>
        <w:bottom w:val="none" w:sz="0" w:space="0" w:color="auto"/>
        <w:right w:val="none" w:sz="0" w:space="0" w:color="auto"/>
      </w:divBdr>
      <w:divsChild>
        <w:div w:id="105514187">
          <w:marLeft w:val="0"/>
          <w:marRight w:val="0"/>
          <w:marTop w:val="0"/>
          <w:marBottom w:val="0"/>
          <w:divBdr>
            <w:top w:val="none" w:sz="0" w:space="0" w:color="auto"/>
            <w:left w:val="none" w:sz="0" w:space="0" w:color="auto"/>
            <w:bottom w:val="none" w:sz="0" w:space="0" w:color="auto"/>
            <w:right w:val="none" w:sz="0" w:space="0" w:color="auto"/>
          </w:divBdr>
        </w:div>
      </w:divsChild>
    </w:div>
    <w:div w:id="1780560259">
      <w:bodyDiv w:val="1"/>
      <w:marLeft w:val="0"/>
      <w:marRight w:val="0"/>
      <w:marTop w:val="0"/>
      <w:marBottom w:val="0"/>
      <w:divBdr>
        <w:top w:val="none" w:sz="0" w:space="0" w:color="auto"/>
        <w:left w:val="none" w:sz="0" w:space="0" w:color="auto"/>
        <w:bottom w:val="none" w:sz="0" w:space="0" w:color="auto"/>
        <w:right w:val="none" w:sz="0" w:space="0" w:color="auto"/>
      </w:divBdr>
    </w:div>
    <w:div w:id="1806850257">
      <w:bodyDiv w:val="1"/>
      <w:marLeft w:val="0"/>
      <w:marRight w:val="0"/>
      <w:marTop w:val="0"/>
      <w:marBottom w:val="0"/>
      <w:divBdr>
        <w:top w:val="none" w:sz="0" w:space="0" w:color="auto"/>
        <w:left w:val="none" w:sz="0" w:space="0" w:color="auto"/>
        <w:bottom w:val="none" w:sz="0" w:space="0" w:color="auto"/>
        <w:right w:val="none" w:sz="0" w:space="0" w:color="auto"/>
      </w:divBdr>
    </w:div>
    <w:div w:id="1845393858">
      <w:bodyDiv w:val="1"/>
      <w:marLeft w:val="0"/>
      <w:marRight w:val="0"/>
      <w:marTop w:val="0"/>
      <w:marBottom w:val="0"/>
      <w:divBdr>
        <w:top w:val="none" w:sz="0" w:space="0" w:color="auto"/>
        <w:left w:val="none" w:sz="0" w:space="0" w:color="auto"/>
        <w:bottom w:val="none" w:sz="0" w:space="0" w:color="auto"/>
        <w:right w:val="none" w:sz="0" w:space="0" w:color="auto"/>
      </w:divBdr>
    </w:div>
    <w:div w:id="1866670895">
      <w:bodyDiv w:val="1"/>
      <w:marLeft w:val="0"/>
      <w:marRight w:val="0"/>
      <w:marTop w:val="0"/>
      <w:marBottom w:val="0"/>
      <w:divBdr>
        <w:top w:val="none" w:sz="0" w:space="0" w:color="auto"/>
        <w:left w:val="none" w:sz="0" w:space="0" w:color="auto"/>
        <w:bottom w:val="none" w:sz="0" w:space="0" w:color="auto"/>
        <w:right w:val="none" w:sz="0" w:space="0" w:color="auto"/>
      </w:divBdr>
    </w:div>
    <w:div w:id="1892886214">
      <w:bodyDiv w:val="1"/>
      <w:marLeft w:val="0"/>
      <w:marRight w:val="0"/>
      <w:marTop w:val="0"/>
      <w:marBottom w:val="0"/>
      <w:divBdr>
        <w:top w:val="none" w:sz="0" w:space="0" w:color="auto"/>
        <w:left w:val="none" w:sz="0" w:space="0" w:color="auto"/>
        <w:bottom w:val="none" w:sz="0" w:space="0" w:color="auto"/>
        <w:right w:val="none" w:sz="0" w:space="0" w:color="auto"/>
      </w:divBdr>
    </w:div>
    <w:div w:id="1919051078">
      <w:bodyDiv w:val="1"/>
      <w:marLeft w:val="0"/>
      <w:marRight w:val="0"/>
      <w:marTop w:val="0"/>
      <w:marBottom w:val="0"/>
      <w:divBdr>
        <w:top w:val="none" w:sz="0" w:space="0" w:color="auto"/>
        <w:left w:val="none" w:sz="0" w:space="0" w:color="auto"/>
        <w:bottom w:val="none" w:sz="0" w:space="0" w:color="auto"/>
        <w:right w:val="none" w:sz="0" w:space="0" w:color="auto"/>
      </w:divBdr>
    </w:div>
    <w:div w:id="1923635860">
      <w:bodyDiv w:val="1"/>
      <w:marLeft w:val="0"/>
      <w:marRight w:val="0"/>
      <w:marTop w:val="0"/>
      <w:marBottom w:val="0"/>
      <w:divBdr>
        <w:top w:val="none" w:sz="0" w:space="0" w:color="auto"/>
        <w:left w:val="none" w:sz="0" w:space="0" w:color="auto"/>
        <w:bottom w:val="none" w:sz="0" w:space="0" w:color="auto"/>
        <w:right w:val="none" w:sz="0" w:space="0" w:color="auto"/>
      </w:divBdr>
    </w:div>
    <w:div w:id="1954051901">
      <w:bodyDiv w:val="1"/>
      <w:marLeft w:val="0"/>
      <w:marRight w:val="0"/>
      <w:marTop w:val="0"/>
      <w:marBottom w:val="0"/>
      <w:divBdr>
        <w:top w:val="none" w:sz="0" w:space="0" w:color="auto"/>
        <w:left w:val="none" w:sz="0" w:space="0" w:color="auto"/>
        <w:bottom w:val="none" w:sz="0" w:space="0" w:color="auto"/>
        <w:right w:val="none" w:sz="0" w:space="0" w:color="auto"/>
      </w:divBdr>
    </w:div>
    <w:div w:id="1970865576">
      <w:bodyDiv w:val="1"/>
      <w:marLeft w:val="0"/>
      <w:marRight w:val="0"/>
      <w:marTop w:val="0"/>
      <w:marBottom w:val="0"/>
      <w:divBdr>
        <w:top w:val="none" w:sz="0" w:space="0" w:color="auto"/>
        <w:left w:val="none" w:sz="0" w:space="0" w:color="auto"/>
        <w:bottom w:val="none" w:sz="0" w:space="0" w:color="auto"/>
        <w:right w:val="none" w:sz="0" w:space="0" w:color="auto"/>
      </w:divBdr>
    </w:div>
    <w:div w:id="1986738378">
      <w:bodyDiv w:val="1"/>
      <w:marLeft w:val="0"/>
      <w:marRight w:val="0"/>
      <w:marTop w:val="0"/>
      <w:marBottom w:val="0"/>
      <w:divBdr>
        <w:top w:val="none" w:sz="0" w:space="0" w:color="auto"/>
        <w:left w:val="none" w:sz="0" w:space="0" w:color="auto"/>
        <w:bottom w:val="none" w:sz="0" w:space="0" w:color="auto"/>
        <w:right w:val="none" w:sz="0" w:space="0" w:color="auto"/>
      </w:divBdr>
    </w:div>
    <w:div w:id="1998411685">
      <w:bodyDiv w:val="1"/>
      <w:marLeft w:val="0"/>
      <w:marRight w:val="0"/>
      <w:marTop w:val="0"/>
      <w:marBottom w:val="0"/>
      <w:divBdr>
        <w:top w:val="none" w:sz="0" w:space="0" w:color="auto"/>
        <w:left w:val="none" w:sz="0" w:space="0" w:color="auto"/>
        <w:bottom w:val="none" w:sz="0" w:space="0" w:color="auto"/>
        <w:right w:val="none" w:sz="0" w:space="0" w:color="auto"/>
      </w:divBdr>
    </w:div>
    <w:div w:id="2015723074">
      <w:bodyDiv w:val="1"/>
      <w:marLeft w:val="0"/>
      <w:marRight w:val="0"/>
      <w:marTop w:val="0"/>
      <w:marBottom w:val="0"/>
      <w:divBdr>
        <w:top w:val="none" w:sz="0" w:space="0" w:color="auto"/>
        <w:left w:val="none" w:sz="0" w:space="0" w:color="auto"/>
        <w:bottom w:val="none" w:sz="0" w:space="0" w:color="auto"/>
        <w:right w:val="none" w:sz="0" w:space="0" w:color="auto"/>
      </w:divBdr>
    </w:div>
    <w:div w:id="2053772278">
      <w:bodyDiv w:val="1"/>
      <w:marLeft w:val="0"/>
      <w:marRight w:val="0"/>
      <w:marTop w:val="0"/>
      <w:marBottom w:val="0"/>
      <w:divBdr>
        <w:top w:val="none" w:sz="0" w:space="0" w:color="auto"/>
        <w:left w:val="none" w:sz="0" w:space="0" w:color="auto"/>
        <w:bottom w:val="none" w:sz="0" w:space="0" w:color="auto"/>
        <w:right w:val="none" w:sz="0" w:space="0" w:color="auto"/>
      </w:divBdr>
      <w:divsChild>
        <w:div w:id="740912429">
          <w:marLeft w:val="0"/>
          <w:marRight w:val="0"/>
          <w:marTop w:val="720"/>
          <w:marBottom w:val="720"/>
          <w:divBdr>
            <w:top w:val="none" w:sz="0" w:space="0" w:color="auto"/>
            <w:left w:val="none" w:sz="0" w:space="0" w:color="auto"/>
            <w:bottom w:val="none" w:sz="0" w:space="0" w:color="auto"/>
            <w:right w:val="none" w:sz="0" w:space="0" w:color="auto"/>
          </w:divBdr>
          <w:divsChild>
            <w:div w:id="631448886">
              <w:marLeft w:val="0"/>
              <w:marRight w:val="0"/>
              <w:marTop w:val="0"/>
              <w:marBottom w:val="0"/>
              <w:divBdr>
                <w:top w:val="none" w:sz="0" w:space="0" w:color="auto"/>
                <w:left w:val="none" w:sz="0" w:space="0" w:color="auto"/>
                <w:bottom w:val="none" w:sz="0" w:space="0" w:color="auto"/>
                <w:right w:val="none" w:sz="0" w:space="0" w:color="auto"/>
              </w:divBdr>
              <w:divsChild>
                <w:div w:id="422073197">
                  <w:marLeft w:val="0"/>
                  <w:marRight w:val="0"/>
                  <w:marTop w:val="0"/>
                  <w:marBottom w:val="0"/>
                  <w:divBdr>
                    <w:top w:val="single" w:sz="4" w:space="12" w:color="CCCCCC"/>
                    <w:left w:val="none" w:sz="0" w:space="0" w:color="auto"/>
                    <w:bottom w:val="none" w:sz="0" w:space="0" w:color="auto"/>
                    <w:right w:val="none" w:sz="0" w:space="0" w:color="auto"/>
                  </w:divBdr>
                </w:div>
              </w:divsChild>
            </w:div>
          </w:divsChild>
        </w:div>
      </w:divsChild>
    </w:div>
    <w:div w:id="2060594995">
      <w:bodyDiv w:val="1"/>
      <w:marLeft w:val="0"/>
      <w:marRight w:val="0"/>
      <w:marTop w:val="0"/>
      <w:marBottom w:val="0"/>
      <w:divBdr>
        <w:top w:val="none" w:sz="0" w:space="0" w:color="auto"/>
        <w:left w:val="none" w:sz="0" w:space="0" w:color="auto"/>
        <w:bottom w:val="none" w:sz="0" w:space="0" w:color="auto"/>
        <w:right w:val="none" w:sz="0" w:space="0" w:color="auto"/>
      </w:divBdr>
    </w:div>
    <w:div w:id="2060857767">
      <w:bodyDiv w:val="1"/>
      <w:marLeft w:val="0"/>
      <w:marRight w:val="0"/>
      <w:marTop w:val="0"/>
      <w:marBottom w:val="0"/>
      <w:divBdr>
        <w:top w:val="none" w:sz="0" w:space="0" w:color="auto"/>
        <w:left w:val="none" w:sz="0" w:space="0" w:color="auto"/>
        <w:bottom w:val="none" w:sz="0" w:space="0" w:color="auto"/>
        <w:right w:val="none" w:sz="0" w:space="0" w:color="auto"/>
      </w:divBdr>
    </w:div>
    <w:div w:id="2064478362">
      <w:bodyDiv w:val="1"/>
      <w:marLeft w:val="0"/>
      <w:marRight w:val="0"/>
      <w:marTop w:val="0"/>
      <w:marBottom w:val="0"/>
      <w:divBdr>
        <w:top w:val="none" w:sz="0" w:space="0" w:color="auto"/>
        <w:left w:val="none" w:sz="0" w:space="0" w:color="auto"/>
        <w:bottom w:val="none" w:sz="0" w:space="0" w:color="auto"/>
        <w:right w:val="none" w:sz="0" w:space="0" w:color="auto"/>
      </w:divBdr>
    </w:div>
    <w:div w:id="2073500862">
      <w:bodyDiv w:val="1"/>
      <w:marLeft w:val="0"/>
      <w:marRight w:val="0"/>
      <w:marTop w:val="0"/>
      <w:marBottom w:val="0"/>
      <w:divBdr>
        <w:top w:val="none" w:sz="0" w:space="0" w:color="auto"/>
        <w:left w:val="none" w:sz="0" w:space="0" w:color="auto"/>
        <w:bottom w:val="none" w:sz="0" w:space="0" w:color="auto"/>
        <w:right w:val="none" w:sz="0" w:space="0" w:color="auto"/>
      </w:divBdr>
    </w:div>
    <w:div w:id="2103140153">
      <w:bodyDiv w:val="1"/>
      <w:marLeft w:val="0"/>
      <w:marRight w:val="0"/>
      <w:marTop w:val="0"/>
      <w:marBottom w:val="0"/>
      <w:divBdr>
        <w:top w:val="none" w:sz="0" w:space="0" w:color="auto"/>
        <w:left w:val="none" w:sz="0" w:space="0" w:color="auto"/>
        <w:bottom w:val="none" w:sz="0" w:space="0" w:color="auto"/>
        <w:right w:val="none" w:sz="0" w:space="0" w:color="auto"/>
      </w:divBdr>
    </w:div>
    <w:div w:id="2113209309">
      <w:bodyDiv w:val="1"/>
      <w:marLeft w:val="0"/>
      <w:marRight w:val="0"/>
      <w:marTop w:val="0"/>
      <w:marBottom w:val="0"/>
      <w:divBdr>
        <w:top w:val="none" w:sz="0" w:space="0" w:color="auto"/>
        <w:left w:val="none" w:sz="0" w:space="0" w:color="auto"/>
        <w:bottom w:val="none" w:sz="0" w:space="0" w:color="auto"/>
        <w:right w:val="none" w:sz="0" w:space="0" w:color="auto"/>
      </w:divBdr>
    </w:div>
    <w:div w:id="2129424008">
      <w:bodyDiv w:val="1"/>
      <w:marLeft w:val="0"/>
      <w:marRight w:val="0"/>
      <w:marTop w:val="0"/>
      <w:marBottom w:val="0"/>
      <w:divBdr>
        <w:top w:val="none" w:sz="0" w:space="0" w:color="auto"/>
        <w:left w:val="none" w:sz="0" w:space="0" w:color="auto"/>
        <w:bottom w:val="none" w:sz="0" w:space="0" w:color="auto"/>
        <w:right w:val="none" w:sz="0" w:space="0" w:color="auto"/>
      </w:divBdr>
    </w:div>
    <w:div w:id="2131586617">
      <w:bodyDiv w:val="1"/>
      <w:marLeft w:val="0"/>
      <w:marRight w:val="0"/>
      <w:marTop w:val="0"/>
      <w:marBottom w:val="0"/>
      <w:divBdr>
        <w:top w:val="none" w:sz="0" w:space="0" w:color="auto"/>
        <w:left w:val="none" w:sz="0" w:space="0" w:color="auto"/>
        <w:bottom w:val="none" w:sz="0" w:space="0" w:color="auto"/>
        <w:right w:val="none" w:sz="0" w:space="0" w:color="auto"/>
      </w:divBdr>
    </w:div>
    <w:div w:id="21363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hyperlink" Target="http://www.cnm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agas.es/enagas/es/Gestion_Tecnica_Sistema/Mercados/Precio_medio_para_saldo_mer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91DE7-77FC-4D23-BA6E-869EBBDD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21</Pages>
  <Words>7245</Words>
  <Characters>36982</Characters>
  <Application>Microsoft Office Word</Application>
  <DocSecurity>0</DocSecurity>
  <Lines>308</Lines>
  <Paragraphs>88</Paragraphs>
  <ScaleCrop>false</ScaleCrop>
  <HeadingPairs>
    <vt:vector size="2" baseType="variant">
      <vt:variant>
        <vt:lpstr>Título</vt:lpstr>
      </vt:variant>
      <vt:variant>
        <vt:i4>1</vt:i4>
      </vt:variant>
    </vt:vector>
  </HeadingPairs>
  <TitlesOfParts>
    <vt:vector size="1" baseType="lpstr">
      <vt:lpstr>INFORMES SOBRE EL SECTOR DE SERVICIOS PROFESIONALES</vt:lpstr>
    </vt:vector>
  </TitlesOfParts>
  <Company>SUBSECRETARIA MEH</Company>
  <LinksUpToDate>false</LinksUpToDate>
  <CharactersWithSpaces>44139</CharactersWithSpaces>
  <SharedDoc>false</SharedDoc>
  <HLinks>
    <vt:vector size="132" baseType="variant">
      <vt:variant>
        <vt:i4>786469</vt:i4>
      </vt:variant>
      <vt:variant>
        <vt:i4>111</vt:i4>
      </vt:variant>
      <vt:variant>
        <vt:i4>0</vt:i4>
      </vt:variant>
      <vt:variant>
        <vt:i4>5</vt:i4>
      </vt:variant>
      <vt:variant>
        <vt:lpwstr>\\ARGA\DGA\2_Sub. Mercado\4_Documentación\Legislación\HTML-LEY-34-98 (UNESA), Act 20070215\Legislacion\RD94901.htm</vt:lpwstr>
      </vt:variant>
      <vt:variant>
        <vt:lpwstr>Art15</vt:lpwstr>
      </vt:variant>
      <vt:variant>
        <vt:i4>1310781</vt:i4>
      </vt:variant>
      <vt:variant>
        <vt:i4>104</vt:i4>
      </vt:variant>
      <vt:variant>
        <vt:i4>0</vt:i4>
      </vt:variant>
      <vt:variant>
        <vt:i4>5</vt:i4>
      </vt:variant>
      <vt:variant>
        <vt:lpwstr/>
      </vt:variant>
      <vt:variant>
        <vt:lpwstr>_Toc378764079</vt:lpwstr>
      </vt:variant>
      <vt:variant>
        <vt:i4>1310781</vt:i4>
      </vt:variant>
      <vt:variant>
        <vt:i4>98</vt:i4>
      </vt:variant>
      <vt:variant>
        <vt:i4>0</vt:i4>
      </vt:variant>
      <vt:variant>
        <vt:i4>5</vt:i4>
      </vt:variant>
      <vt:variant>
        <vt:lpwstr/>
      </vt:variant>
      <vt:variant>
        <vt:lpwstr>_Toc378764078</vt:lpwstr>
      </vt:variant>
      <vt:variant>
        <vt:i4>1310781</vt:i4>
      </vt:variant>
      <vt:variant>
        <vt:i4>92</vt:i4>
      </vt:variant>
      <vt:variant>
        <vt:i4>0</vt:i4>
      </vt:variant>
      <vt:variant>
        <vt:i4>5</vt:i4>
      </vt:variant>
      <vt:variant>
        <vt:lpwstr/>
      </vt:variant>
      <vt:variant>
        <vt:lpwstr>_Toc378764077</vt:lpwstr>
      </vt:variant>
      <vt:variant>
        <vt:i4>1310781</vt:i4>
      </vt:variant>
      <vt:variant>
        <vt:i4>86</vt:i4>
      </vt:variant>
      <vt:variant>
        <vt:i4>0</vt:i4>
      </vt:variant>
      <vt:variant>
        <vt:i4>5</vt:i4>
      </vt:variant>
      <vt:variant>
        <vt:lpwstr/>
      </vt:variant>
      <vt:variant>
        <vt:lpwstr>_Toc378764076</vt:lpwstr>
      </vt:variant>
      <vt:variant>
        <vt:i4>1310781</vt:i4>
      </vt:variant>
      <vt:variant>
        <vt:i4>80</vt:i4>
      </vt:variant>
      <vt:variant>
        <vt:i4>0</vt:i4>
      </vt:variant>
      <vt:variant>
        <vt:i4>5</vt:i4>
      </vt:variant>
      <vt:variant>
        <vt:lpwstr/>
      </vt:variant>
      <vt:variant>
        <vt:lpwstr>_Toc378764075</vt:lpwstr>
      </vt:variant>
      <vt:variant>
        <vt:i4>1310781</vt:i4>
      </vt:variant>
      <vt:variant>
        <vt:i4>74</vt:i4>
      </vt:variant>
      <vt:variant>
        <vt:i4>0</vt:i4>
      </vt:variant>
      <vt:variant>
        <vt:i4>5</vt:i4>
      </vt:variant>
      <vt:variant>
        <vt:lpwstr/>
      </vt:variant>
      <vt:variant>
        <vt:lpwstr>_Toc378764074</vt:lpwstr>
      </vt:variant>
      <vt:variant>
        <vt:i4>1310781</vt:i4>
      </vt:variant>
      <vt:variant>
        <vt:i4>68</vt:i4>
      </vt:variant>
      <vt:variant>
        <vt:i4>0</vt:i4>
      </vt:variant>
      <vt:variant>
        <vt:i4>5</vt:i4>
      </vt:variant>
      <vt:variant>
        <vt:lpwstr/>
      </vt:variant>
      <vt:variant>
        <vt:lpwstr>_Toc378764073</vt:lpwstr>
      </vt:variant>
      <vt:variant>
        <vt:i4>1310781</vt:i4>
      </vt:variant>
      <vt:variant>
        <vt:i4>62</vt:i4>
      </vt:variant>
      <vt:variant>
        <vt:i4>0</vt:i4>
      </vt:variant>
      <vt:variant>
        <vt:i4>5</vt:i4>
      </vt:variant>
      <vt:variant>
        <vt:lpwstr/>
      </vt:variant>
      <vt:variant>
        <vt:lpwstr>_Toc378764072</vt:lpwstr>
      </vt:variant>
      <vt:variant>
        <vt:i4>1310781</vt:i4>
      </vt:variant>
      <vt:variant>
        <vt:i4>56</vt:i4>
      </vt:variant>
      <vt:variant>
        <vt:i4>0</vt:i4>
      </vt:variant>
      <vt:variant>
        <vt:i4>5</vt:i4>
      </vt:variant>
      <vt:variant>
        <vt:lpwstr/>
      </vt:variant>
      <vt:variant>
        <vt:lpwstr>_Toc378764071</vt:lpwstr>
      </vt:variant>
      <vt:variant>
        <vt:i4>1310781</vt:i4>
      </vt:variant>
      <vt:variant>
        <vt:i4>50</vt:i4>
      </vt:variant>
      <vt:variant>
        <vt:i4>0</vt:i4>
      </vt:variant>
      <vt:variant>
        <vt:i4>5</vt:i4>
      </vt:variant>
      <vt:variant>
        <vt:lpwstr/>
      </vt:variant>
      <vt:variant>
        <vt:lpwstr>_Toc378764070</vt:lpwstr>
      </vt:variant>
      <vt:variant>
        <vt:i4>1376317</vt:i4>
      </vt:variant>
      <vt:variant>
        <vt:i4>44</vt:i4>
      </vt:variant>
      <vt:variant>
        <vt:i4>0</vt:i4>
      </vt:variant>
      <vt:variant>
        <vt:i4>5</vt:i4>
      </vt:variant>
      <vt:variant>
        <vt:lpwstr/>
      </vt:variant>
      <vt:variant>
        <vt:lpwstr>_Toc378764069</vt:lpwstr>
      </vt:variant>
      <vt:variant>
        <vt:i4>1376317</vt:i4>
      </vt:variant>
      <vt:variant>
        <vt:i4>38</vt:i4>
      </vt:variant>
      <vt:variant>
        <vt:i4>0</vt:i4>
      </vt:variant>
      <vt:variant>
        <vt:i4>5</vt:i4>
      </vt:variant>
      <vt:variant>
        <vt:lpwstr/>
      </vt:variant>
      <vt:variant>
        <vt:lpwstr>_Toc378764068</vt:lpwstr>
      </vt:variant>
      <vt:variant>
        <vt:i4>1376317</vt:i4>
      </vt:variant>
      <vt:variant>
        <vt:i4>32</vt:i4>
      </vt:variant>
      <vt:variant>
        <vt:i4>0</vt:i4>
      </vt:variant>
      <vt:variant>
        <vt:i4>5</vt:i4>
      </vt:variant>
      <vt:variant>
        <vt:lpwstr/>
      </vt:variant>
      <vt:variant>
        <vt:lpwstr>_Toc378764067</vt:lpwstr>
      </vt:variant>
      <vt:variant>
        <vt:i4>1376317</vt:i4>
      </vt:variant>
      <vt:variant>
        <vt:i4>26</vt:i4>
      </vt:variant>
      <vt:variant>
        <vt:i4>0</vt:i4>
      </vt:variant>
      <vt:variant>
        <vt:i4>5</vt:i4>
      </vt:variant>
      <vt:variant>
        <vt:lpwstr/>
      </vt:variant>
      <vt:variant>
        <vt:lpwstr>_Toc378764066</vt:lpwstr>
      </vt:variant>
      <vt:variant>
        <vt:i4>1376317</vt:i4>
      </vt:variant>
      <vt:variant>
        <vt:i4>20</vt:i4>
      </vt:variant>
      <vt:variant>
        <vt:i4>0</vt:i4>
      </vt:variant>
      <vt:variant>
        <vt:i4>5</vt:i4>
      </vt:variant>
      <vt:variant>
        <vt:lpwstr/>
      </vt:variant>
      <vt:variant>
        <vt:lpwstr>_Toc378764065</vt:lpwstr>
      </vt:variant>
      <vt:variant>
        <vt:i4>1376317</vt:i4>
      </vt:variant>
      <vt:variant>
        <vt:i4>14</vt:i4>
      </vt:variant>
      <vt:variant>
        <vt:i4>0</vt:i4>
      </vt:variant>
      <vt:variant>
        <vt:i4>5</vt:i4>
      </vt:variant>
      <vt:variant>
        <vt:lpwstr/>
      </vt:variant>
      <vt:variant>
        <vt:lpwstr>_Toc378764064</vt:lpwstr>
      </vt:variant>
      <vt:variant>
        <vt:i4>1376317</vt:i4>
      </vt:variant>
      <vt:variant>
        <vt:i4>8</vt:i4>
      </vt:variant>
      <vt:variant>
        <vt:i4>0</vt:i4>
      </vt:variant>
      <vt:variant>
        <vt:i4>5</vt:i4>
      </vt:variant>
      <vt:variant>
        <vt:lpwstr/>
      </vt:variant>
      <vt:variant>
        <vt:lpwstr>_Toc378764063</vt:lpwstr>
      </vt:variant>
      <vt:variant>
        <vt:i4>1376317</vt:i4>
      </vt:variant>
      <vt:variant>
        <vt:i4>2</vt:i4>
      </vt:variant>
      <vt:variant>
        <vt:i4>0</vt:i4>
      </vt:variant>
      <vt:variant>
        <vt:i4>5</vt:i4>
      </vt:variant>
      <vt:variant>
        <vt:lpwstr/>
      </vt:variant>
      <vt:variant>
        <vt:lpwstr>_Toc378764062</vt:lpwstr>
      </vt:variant>
      <vt:variant>
        <vt:i4>7864376</vt:i4>
      </vt:variant>
      <vt:variant>
        <vt:i4>18</vt:i4>
      </vt:variant>
      <vt:variant>
        <vt:i4>0</vt:i4>
      </vt:variant>
      <vt:variant>
        <vt:i4>5</vt:i4>
      </vt:variant>
      <vt:variant>
        <vt:lpwstr>http://www.cnmc.es/</vt:lpwstr>
      </vt:variant>
      <vt:variant>
        <vt:lpwstr/>
      </vt:variant>
      <vt:variant>
        <vt:i4>7864376</vt:i4>
      </vt:variant>
      <vt:variant>
        <vt:i4>9</vt:i4>
      </vt:variant>
      <vt:variant>
        <vt:i4>0</vt:i4>
      </vt:variant>
      <vt:variant>
        <vt:i4>5</vt:i4>
      </vt:variant>
      <vt:variant>
        <vt:lpwstr>http://www.cnmc.es/</vt:lpwstr>
      </vt:variant>
      <vt:variant>
        <vt:lpwstr/>
      </vt:variant>
      <vt:variant>
        <vt:i4>7864376</vt:i4>
      </vt:variant>
      <vt:variant>
        <vt:i4>0</vt:i4>
      </vt:variant>
      <vt:variant>
        <vt:i4>0</vt:i4>
      </vt:variant>
      <vt:variant>
        <vt:i4>5</vt:i4>
      </vt:variant>
      <vt:variant>
        <vt:lpwstr>http://www.cnmc.es/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INFORMES SOBRE EL SECTOR DE SERVICIOS PROFESIONALES</dc:title>
  <dc:creator>LFOviedo</dc:creator>
  <cp:lastModifiedBy>Canales Najera, Beatriz</cp:lastModifiedBy>
  <cp:revision>4</cp:revision>
  <cp:lastPrinted>2020-11-12T14:48:00Z</cp:lastPrinted>
  <dcterms:created xsi:type="dcterms:W3CDTF">2020-11-10T10:17:00Z</dcterms:created>
  <dcterms:modified xsi:type="dcterms:W3CDTF">2020-11-12T14:48:00Z</dcterms:modified>
</cp:coreProperties>
</file>