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80275" w14:textId="77777777" w:rsidR="003B130F" w:rsidRDefault="003B130F" w:rsidP="003B130F">
      <w:pPr>
        <w:spacing w:after="120" w:line="240" w:lineRule="auto"/>
        <w:jc w:val="both"/>
        <w:rPr>
          <w:rFonts w:ascii="Arial" w:hAnsi="Arial" w:cs="Arial"/>
          <w:b/>
          <w:sz w:val="24"/>
          <w:szCs w:val="24"/>
        </w:rPr>
      </w:pPr>
      <w:r>
        <w:rPr>
          <w:rFonts w:ascii="Arial" w:hAnsi="Arial" w:cs="Arial"/>
          <w:b/>
          <w:sz w:val="24"/>
          <w:szCs w:val="24"/>
        </w:rPr>
        <w:t>RESOLUCIÓN DE VIGILANCIA</w:t>
      </w:r>
    </w:p>
    <w:p w14:paraId="74D068B9" w14:textId="3CDECC24" w:rsidR="00AF5A86" w:rsidRPr="00D80D85" w:rsidRDefault="00AF5A86" w:rsidP="00E45193">
      <w:pPr>
        <w:spacing w:after="120" w:line="240" w:lineRule="auto"/>
        <w:jc w:val="both"/>
        <w:rPr>
          <w:rFonts w:ascii="Arial" w:hAnsi="Arial" w:cs="Arial"/>
          <w:b/>
          <w:sz w:val="24"/>
          <w:szCs w:val="24"/>
        </w:rPr>
      </w:pPr>
      <w:proofErr w:type="spellStart"/>
      <w:r w:rsidRPr="00D80D85">
        <w:rPr>
          <w:rFonts w:ascii="Arial" w:hAnsi="Arial" w:cs="Arial"/>
          <w:b/>
          <w:sz w:val="24"/>
          <w:szCs w:val="24"/>
        </w:rPr>
        <w:t>Expte</w:t>
      </w:r>
      <w:proofErr w:type="spellEnd"/>
      <w:r w:rsidRPr="00D80D85">
        <w:rPr>
          <w:rFonts w:ascii="Arial" w:hAnsi="Arial" w:cs="Arial"/>
          <w:b/>
          <w:sz w:val="24"/>
          <w:szCs w:val="24"/>
        </w:rPr>
        <w:t xml:space="preserve">. </w:t>
      </w:r>
      <w:r w:rsidR="00595795" w:rsidRPr="00595795">
        <w:rPr>
          <w:rFonts w:ascii="Arial" w:hAnsi="Arial" w:cs="Arial"/>
          <w:b/>
          <w:sz w:val="24"/>
          <w:szCs w:val="24"/>
        </w:rPr>
        <w:t>VC/1</w:t>
      </w:r>
      <w:r w:rsidR="00CB241A">
        <w:rPr>
          <w:rFonts w:ascii="Arial" w:hAnsi="Arial" w:cs="Arial"/>
          <w:b/>
          <w:sz w:val="24"/>
          <w:szCs w:val="24"/>
        </w:rPr>
        <w:t>144</w:t>
      </w:r>
      <w:r w:rsidR="00595795" w:rsidRPr="00595795">
        <w:rPr>
          <w:rFonts w:ascii="Arial" w:hAnsi="Arial" w:cs="Arial"/>
          <w:b/>
          <w:sz w:val="24"/>
          <w:szCs w:val="24"/>
        </w:rPr>
        <w:t>/</w:t>
      </w:r>
      <w:r w:rsidR="00CB241A">
        <w:rPr>
          <w:rFonts w:ascii="Arial" w:hAnsi="Arial" w:cs="Arial"/>
          <w:b/>
          <w:sz w:val="24"/>
          <w:szCs w:val="24"/>
        </w:rPr>
        <w:t>20</w:t>
      </w:r>
      <w:r w:rsidR="00595795" w:rsidRPr="00595795">
        <w:rPr>
          <w:rFonts w:ascii="Arial" w:hAnsi="Arial" w:cs="Arial"/>
          <w:b/>
          <w:sz w:val="24"/>
          <w:szCs w:val="24"/>
        </w:rPr>
        <w:t xml:space="preserve"> </w:t>
      </w:r>
      <w:r w:rsidR="00CB241A" w:rsidRPr="00CB241A">
        <w:rPr>
          <w:rFonts w:ascii="Arial" w:hAnsi="Arial" w:cs="Arial"/>
          <w:b/>
          <w:sz w:val="24"/>
          <w:szCs w:val="24"/>
        </w:rPr>
        <w:t>CAIXABANK / BANKIA</w:t>
      </w:r>
    </w:p>
    <w:p w14:paraId="44931D3B" w14:textId="77777777" w:rsidR="00CB241A" w:rsidRDefault="00CB241A" w:rsidP="00CB241A">
      <w:pPr>
        <w:spacing w:after="120" w:line="240" w:lineRule="auto"/>
        <w:jc w:val="both"/>
        <w:rPr>
          <w:rFonts w:ascii="Arial" w:hAnsi="Arial" w:cs="Arial"/>
          <w:b/>
          <w:sz w:val="24"/>
          <w:szCs w:val="24"/>
        </w:rPr>
      </w:pPr>
      <w:r>
        <w:rPr>
          <w:rFonts w:ascii="Arial" w:hAnsi="Arial" w:cs="Arial"/>
          <w:b/>
          <w:sz w:val="24"/>
          <w:szCs w:val="24"/>
        </w:rPr>
        <w:t>CONSEJO. SALA DE COMPETENCIA</w:t>
      </w:r>
    </w:p>
    <w:p w14:paraId="5AD5467C" w14:textId="77777777" w:rsidR="00CB241A" w:rsidRPr="008C5FF8" w:rsidRDefault="00CB241A" w:rsidP="00CB241A">
      <w:pPr>
        <w:spacing w:before="240" w:after="120"/>
        <w:jc w:val="both"/>
        <w:rPr>
          <w:rFonts w:ascii="Arial" w:hAnsi="Arial" w:cs="Arial"/>
          <w:b/>
          <w:sz w:val="24"/>
          <w:szCs w:val="24"/>
        </w:rPr>
      </w:pPr>
      <w:r w:rsidRPr="008C5FF8">
        <w:rPr>
          <w:rFonts w:ascii="Arial" w:hAnsi="Arial" w:cs="Arial"/>
          <w:b/>
          <w:sz w:val="24"/>
          <w:szCs w:val="24"/>
        </w:rPr>
        <w:t>Presidenta</w:t>
      </w:r>
    </w:p>
    <w:p w14:paraId="42FDEC06" w14:textId="77777777" w:rsidR="00CB241A" w:rsidRPr="008C5FF8" w:rsidRDefault="00CB241A" w:rsidP="00CB241A">
      <w:pPr>
        <w:spacing w:after="120"/>
        <w:jc w:val="both"/>
        <w:rPr>
          <w:rFonts w:ascii="Arial" w:hAnsi="Arial" w:cs="Arial"/>
          <w:sz w:val="24"/>
          <w:szCs w:val="24"/>
        </w:rPr>
      </w:pPr>
      <w:r w:rsidRPr="008C5FF8">
        <w:rPr>
          <w:rFonts w:ascii="Arial" w:hAnsi="Arial" w:cs="Arial"/>
          <w:sz w:val="24"/>
          <w:szCs w:val="24"/>
        </w:rPr>
        <w:t xml:space="preserve">Dª. Cani Fernández Vicién </w:t>
      </w:r>
    </w:p>
    <w:p w14:paraId="22546804" w14:textId="77777777" w:rsidR="00CB241A" w:rsidRPr="008C5FF8" w:rsidRDefault="00CB241A" w:rsidP="00CB241A">
      <w:pPr>
        <w:spacing w:before="240" w:after="120"/>
        <w:jc w:val="both"/>
        <w:rPr>
          <w:rFonts w:ascii="Arial" w:hAnsi="Arial" w:cs="Arial"/>
          <w:b/>
          <w:sz w:val="24"/>
          <w:szCs w:val="24"/>
        </w:rPr>
      </w:pPr>
      <w:r w:rsidRPr="008C5FF8">
        <w:rPr>
          <w:rFonts w:ascii="Arial" w:hAnsi="Arial" w:cs="Arial"/>
          <w:b/>
          <w:sz w:val="24"/>
          <w:szCs w:val="24"/>
        </w:rPr>
        <w:t>Consejeros</w:t>
      </w:r>
    </w:p>
    <w:p w14:paraId="1B272005" w14:textId="77777777" w:rsidR="00CB241A" w:rsidRPr="008C5FF8" w:rsidRDefault="00CB241A" w:rsidP="00CB241A">
      <w:pPr>
        <w:spacing w:after="0"/>
        <w:jc w:val="both"/>
        <w:rPr>
          <w:rFonts w:ascii="Arial" w:hAnsi="Arial" w:cs="Arial"/>
          <w:sz w:val="24"/>
          <w:szCs w:val="24"/>
        </w:rPr>
      </w:pPr>
      <w:r w:rsidRPr="008C5FF8">
        <w:rPr>
          <w:rFonts w:ascii="Arial" w:hAnsi="Arial" w:cs="Arial"/>
          <w:sz w:val="24"/>
          <w:szCs w:val="24"/>
        </w:rPr>
        <w:t>Dª. María Ortiz Aguilar</w:t>
      </w:r>
    </w:p>
    <w:p w14:paraId="47042CFE" w14:textId="77777777" w:rsidR="00CB241A" w:rsidRPr="008C5FF8" w:rsidRDefault="00CB241A" w:rsidP="00CB241A">
      <w:pPr>
        <w:spacing w:after="0"/>
        <w:jc w:val="both"/>
        <w:rPr>
          <w:rFonts w:ascii="Arial" w:hAnsi="Arial" w:cs="Arial"/>
          <w:sz w:val="24"/>
          <w:szCs w:val="24"/>
        </w:rPr>
      </w:pPr>
      <w:r w:rsidRPr="008C5FF8">
        <w:rPr>
          <w:rFonts w:ascii="Arial" w:hAnsi="Arial" w:cs="Arial"/>
          <w:sz w:val="24"/>
          <w:szCs w:val="24"/>
        </w:rPr>
        <w:t>Dª María Pilar Canedo Arrillaga</w:t>
      </w:r>
    </w:p>
    <w:p w14:paraId="063EE990" w14:textId="77777777" w:rsidR="00CB241A" w:rsidRPr="008C5FF8" w:rsidRDefault="00CB241A" w:rsidP="00CB241A">
      <w:pPr>
        <w:spacing w:after="0"/>
        <w:jc w:val="both"/>
        <w:rPr>
          <w:rFonts w:ascii="Arial" w:hAnsi="Arial" w:cs="Arial"/>
          <w:sz w:val="24"/>
          <w:szCs w:val="24"/>
        </w:rPr>
      </w:pPr>
      <w:r w:rsidRPr="008C5FF8">
        <w:rPr>
          <w:rFonts w:ascii="Arial" w:hAnsi="Arial" w:cs="Arial"/>
          <w:sz w:val="24"/>
          <w:szCs w:val="24"/>
        </w:rPr>
        <w:t>D. Carlos Aguilar Paredes</w:t>
      </w:r>
    </w:p>
    <w:p w14:paraId="3692F242" w14:textId="77777777" w:rsidR="00CB241A" w:rsidRPr="008C5FF8" w:rsidRDefault="00CB241A" w:rsidP="00CB241A">
      <w:pPr>
        <w:spacing w:after="0"/>
        <w:jc w:val="both"/>
        <w:rPr>
          <w:rFonts w:ascii="Arial" w:hAnsi="Arial" w:cs="Arial"/>
          <w:sz w:val="24"/>
          <w:szCs w:val="24"/>
        </w:rPr>
      </w:pPr>
      <w:r>
        <w:rPr>
          <w:rFonts w:ascii="Arial" w:hAnsi="Arial" w:cs="Arial"/>
          <w:sz w:val="24"/>
          <w:szCs w:val="24"/>
        </w:rPr>
        <w:t>D. Josep Marí</w:t>
      </w:r>
      <w:r w:rsidRPr="008C5FF8">
        <w:rPr>
          <w:rFonts w:ascii="Arial" w:hAnsi="Arial" w:cs="Arial"/>
          <w:sz w:val="24"/>
          <w:szCs w:val="24"/>
        </w:rPr>
        <w:t>a Salas Prat</w:t>
      </w:r>
    </w:p>
    <w:p w14:paraId="3E64A99D" w14:textId="77777777" w:rsidR="00CB241A" w:rsidRPr="008C5FF8" w:rsidRDefault="00CB241A" w:rsidP="00CB241A">
      <w:pPr>
        <w:spacing w:before="240" w:after="120"/>
        <w:jc w:val="both"/>
        <w:rPr>
          <w:rFonts w:ascii="Arial" w:hAnsi="Arial" w:cs="Arial"/>
          <w:b/>
          <w:sz w:val="24"/>
          <w:szCs w:val="24"/>
        </w:rPr>
      </w:pPr>
      <w:r w:rsidRPr="008C5FF8">
        <w:rPr>
          <w:rFonts w:ascii="Arial" w:hAnsi="Arial" w:cs="Arial"/>
          <w:b/>
          <w:sz w:val="24"/>
          <w:szCs w:val="24"/>
        </w:rPr>
        <w:t>Secretario</w:t>
      </w:r>
      <w:r>
        <w:rPr>
          <w:rFonts w:ascii="Arial" w:hAnsi="Arial" w:cs="Arial"/>
          <w:b/>
          <w:sz w:val="24"/>
          <w:szCs w:val="24"/>
        </w:rPr>
        <w:t xml:space="preserve"> del Consejo</w:t>
      </w:r>
    </w:p>
    <w:p w14:paraId="36CBCB7F" w14:textId="77777777" w:rsidR="00CB241A" w:rsidRPr="008C5FF8" w:rsidRDefault="00CB241A" w:rsidP="00CB241A">
      <w:pPr>
        <w:spacing w:after="0"/>
        <w:jc w:val="both"/>
        <w:rPr>
          <w:rFonts w:ascii="Arial" w:hAnsi="Arial" w:cs="Arial"/>
          <w:sz w:val="24"/>
          <w:szCs w:val="24"/>
        </w:rPr>
      </w:pPr>
      <w:r w:rsidRPr="008C5FF8">
        <w:rPr>
          <w:rFonts w:ascii="Arial" w:hAnsi="Arial" w:cs="Arial"/>
          <w:sz w:val="24"/>
          <w:szCs w:val="24"/>
        </w:rPr>
        <w:t>D. Joaquim Hortalà i Vallvé</w:t>
      </w:r>
    </w:p>
    <w:p w14:paraId="434A8A59" w14:textId="77777777" w:rsidR="00CB241A" w:rsidRDefault="00CB241A" w:rsidP="00CB241A">
      <w:pPr>
        <w:spacing w:after="120" w:line="240" w:lineRule="auto"/>
        <w:jc w:val="both"/>
        <w:rPr>
          <w:rFonts w:ascii="Arial" w:hAnsi="Arial" w:cs="Arial"/>
          <w:sz w:val="24"/>
          <w:szCs w:val="24"/>
        </w:rPr>
      </w:pPr>
    </w:p>
    <w:p w14:paraId="1DAA4F8D" w14:textId="11EFF2A0" w:rsidR="00CB241A" w:rsidRDefault="00CB241A" w:rsidP="00CB241A">
      <w:pPr>
        <w:spacing w:after="120" w:line="240" w:lineRule="auto"/>
        <w:jc w:val="both"/>
        <w:rPr>
          <w:rFonts w:ascii="Arial" w:hAnsi="Arial" w:cs="Arial"/>
          <w:sz w:val="24"/>
          <w:szCs w:val="24"/>
        </w:rPr>
      </w:pPr>
      <w:r>
        <w:rPr>
          <w:rFonts w:ascii="Arial" w:hAnsi="Arial" w:cs="Arial"/>
          <w:sz w:val="24"/>
          <w:szCs w:val="24"/>
        </w:rPr>
        <w:t xml:space="preserve">En Madrid, </w:t>
      </w:r>
      <w:r w:rsidRPr="008A6894">
        <w:rPr>
          <w:rFonts w:ascii="Arial" w:hAnsi="Arial" w:cs="Arial"/>
          <w:sz w:val="24"/>
          <w:szCs w:val="24"/>
        </w:rPr>
        <w:t xml:space="preserve">a </w:t>
      </w:r>
      <w:r w:rsidR="007C7461">
        <w:rPr>
          <w:rFonts w:ascii="Arial" w:hAnsi="Arial" w:cs="Arial"/>
          <w:sz w:val="24"/>
          <w:szCs w:val="24"/>
        </w:rPr>
        <w:t>13</w:t>
      </w:r>
      <w:r>
        <w:rPr>
          <w:rFonts w:ascii="Arial" w:hAnsi="Arial" w:cs="Arial"/>
          <w:sz w:val="24"/>
          <w:szCs w:val="24"/>
        </w:rPr>
        <w:t xml:space="preserve"> </w:t>
      </w:r>
      <w:r w:rsidRPr="00B50822">
        <w:rPr>
          <w:rFonts w:ascii="Arial" w:hAnsi="Arial" w:cs="Arial"/>
          <w:sz w:val="24"/>
          <w:szCs w:val="24"/>
        </w:rPr>
        <w:t>de ju</w:t>
      </w:r>
      <w:r w:rsidR="007C7461">
        <w:rPr>
          <w:rFonts w:ascii="Arial" w:hAnsi="Arial" w:cs="Arial"/>
          <w:sz w:val="24"/>
          <w:szCs w:val="24"/>
        </w:rPr>
        <w:t>l</w:t>
      </w:r>
      <w:r w:rsidRPr="00B50822">
        <w:rPr>
          <w:rFonts w:ascii="Arial" w:hAnsi="Arial" w:cs="Arial"/>
          <w:sz w:val="24"/>
          <w:szCs w:val="24"/>
        </w:rPr>
        <w:t>io de 2021</w:t>
      </w:r>
    </w:p>
    <w:p w14:paraId="0E805EFA" w14:textId="77777777" w:rsidR="00714A59" w:rsidRDefault="00714A59" w:rsidP="00E45193">
      <w:pPr>
        <w:spacing w:after="120" w:line="240" w:lineRule="auto"/>
        <w:jc w:val="both"/>
        <w:rPr>
          <w:rFonts w:ascii="Arial" w:hAnsi="Arial" w:cs="Arial"/>
          <w:sz w:val="24"/>
          <w:szCs w:val="24"/>
        </w:rPr>
      </w:pPr>
    </w:p>
    <w:p w14:paraId="6DC848BA" w14:textId="41EA09C3" w:rsidR="00714A59" w:rsidRPr="00595795" w:rsidRDefault="00AF5A86" w:rsidP="002F7C62">
      <w:pPr>
        <w:spacing w:after="120" w:line="240" w:lineRule="auto"/>
        <w:jc w:val="both"/>
        <w:rPr>
          <w:rFonts w:ascii="Arial" w:hAnsi="Arial" w:cs="Arial"/>
          <w:bCs/>
          <w:sz w:val="24"/>
          <w:szCs w:val="24"/>
        </w:rPr>
      </w:pPr>
      <w:r w:rsidRPr="002F7C62">
        <w:rPr>
          <w:rFonts w:ascii="Arial" w:hAnsi="Arial" w:cs="Arial"/>
          <w:sz w:val="24"/>
          <w:szCs w:val="24"/>
        </w:rPr>
        <w:t xml:space="preserve">La Sala de Competencia de la Comisión Nacional de los Mercados y la Competencia, con la composición </w:t>
      </w:r>
      <w:r w:rsidR="002F7C62" w:rsidRPr="002F7C62">
        <w:rPr>
          <w:rFonts w:ascii="Arial" w:hAnsi="Arial" w:cs="Arial"/>
          <w:sz w:val="24"/>
          <w:szCs w:val="24"/>
        </w:rPr>
        <w:t xml:space="preserve">expresada, ha dictado </w:t>
      </w:r>
      <w:r w:rsidR="00227212">
        <w:rPr>
          <w:rFonts w:ascii="Arial" w:hAnsi="Arial" w:cs="Arial"/>
          <w:sz w:val="24"/>
          <w:szCs w:val="24"/>
        </w:rPr>
        <w:t>la</w:t>
      </w:r>
      <w:r w:rsidR="00D80D85">
        <w:rPr>
          <w:rFonts w:ascii="Arial" w:hAnsi="Arial" w:cs="Arial"/>
          <w:sz w:val="24"/>
          <w:szCs w:val="24"/>
        </w:rPr>
        <w:t xml:space="preserve"> siguiente </w:t>
      </w:r>
      <w:r w:rsidR="00227212">
        <w:rPr>
          <w:rFonts w:ascii="Arial" w:hAnsi="Arial" w:cs="Arial"/>
          <w:sz w:val="24"/>
          <w:szCs w:val="24"/>
        </w:rPr>
        <w:t xml:space="preserve">resolución </w:t>
      </w:r>
      <w:r w:rsidR="002F7C62" w:rsidRPr="002F7C62">
        <w:rPr>
          <w:rFonts w:ascii="Arial" w:hAnsi="Arial" w:cs="Arial"/>
          <w:sz w:val="24"/>
          <w:szCs w:val="24"/>
        </w:rPr>
        <w:t xml:space="preserve">en el expediente </w:t>
      </w:r>
      <w:r w:rsidR="0026164D" w:rsidRPr="0026164D">
        <w:rPr>
          <w:rFonts w:ascii="Arial" w:hAnsi="Arial" w:cs="Arial"/>
          <w:sz w:val="24"/>
          <w:szCs w:val="24"/>
        </w:rPr>
        <w:t>VC/1144/20 CAIXABANK / BANKIA</w:t>
      </w:r>
      <w:r w:rsidR="002F7C62" w:rsidRPr="0026164D">
        <w:rPr>
          <w:rFonts w:ascii="Arial" w:hAnsi="Arial" w:cs="Arial"/>
          <w:sz w:val="24"/>
          <w:szCs w:val="24"/>
        </w:rPr>
        <w:t>, cuyo</w:t>
      </w:r>
      <w:r w:rsidR="002F7C62" w:rsidRPr="00595795">
        <w:rPr>
          <w:rFonts w:ascii="Arial" w:hAnsi="Arial" w:cs="Arial"/>
          <w:bCs/>
          <w:sz w:val="24"/>
          <w:szCs w:val="24"/>
        </w:rPr>
        <w:t xml:space="preserve"> objeto es la vigilancia de la resolución del Consejo de la Comisión Nacional de los Mercados y la Competencia (CNMC) de </w:t>
      </w:r>
      <w:r w:rsidR="00595795">
        <w:rPr>
          <w:rFonts w:ascii="Arial" w:hAnsi="Arial" w:cs="Arial"/>
          <w:bCs/>
          <w:sz w:val="24"/>
          <w:szCs w:val="24"/>
        </w:rPr>
        <w:t>2</w:t>
      </w:r>
      <w:r w:rsidR="00A67E1E">
        <w:rPr>
          <w:rFonts w:ascii="Arial" w:hAnsi="Arial" w:cs="Arial"/>
          <w:bCs/>
          <w:sz w:val="24"/>
          <w:szCs w:val="24"/>
        </w:rPr>
        <w:t>3</w:t>
      </w:r>
      <w:r w:rsidR="00152ACA" w:rsidRPr="00595795">
        <w:rPr>
          <w:rFonts w:ascii="Arial" w:hAnsi="Arial" w:cs="Arial"/>
          <w:bCs/>
          <w:sz w:val="24"/>
          <w:szCs w:val="24"/>
        </w:rPr>
        <w:t xml:space="preserve"> </w:t>
      </w:r>
      <w:r w:rsidR="002F7C62" w:rsidRPr="00595795">
        <w:rPr>
          <w:rFonts w:ascii="Arial" w:hAnsi="Arial" w:cs="Arial"/>
          <w:bCs/>
          <w:sz w:val="24"/>
          <w:szCs w:val="24"/>
        </w:rPr>
        <w:t xml:space="preserve">de </w:t>
      </w:r>
      <w:r w:rsidR="00A67E1E">
        <w:rPr>
          <w:rFonts w:ascii="Arial" w:hAnsi="Arial" w:cs="Arial"/>
          <w:bCs/>
          <w:sz w:val="24"/>
          <w:szCs w:val="24"/>
        </w:rPr>
        <w:t>marzo</w:t>
      </w:r>
      <w:r w:rsidR="00595795">
        <w:rPr>
          <w:rFonts w:ascii="Arial" w:hAnsi="Arial" w:cs="Arial"/>
          <w:bCs/>
          <w:sz w:val="24"/>
          <w:szCs w:val="24"/>
        </w:rPr>
        <w:t xml:space="preserve"> </w:t>
      </w:r>
      <w:r w:rsidR="002F7C62" w:rsidRPr="00595795">
        <w:rPr>
          <w:rFonts w:ascii="Arial" w:hAnsi="Arial" w:cs="Arial"/>
          <w:bCs/>
          <w:sz w:val="24"/>
          <w:szCs w:val="24"/>
        </w:rPr>
        <w:t>de 20</w:t>
      </w:r>
      <w:r w:rsidR="00A67E1E">
        <w:rPr>
          <w:rFonts w:ascii="Arial" w:hAnsi="Arial" w:cs="Arial"/>
          <w:bCs/>
          <w:sz w:val="24"/>
          <w:szCs w:val="24"/>
        </w:rPr>
        <w:t>21</w:t>
      </w:r>
      <w:r w:rsidR="002F7C62" w:rsidRPr="00595795">
        <w:rPr>
          <w:rFonts w:ascii="Arial" w:hAnsi="Arial" w:cs="Arial"/>
          <w:bCs/>
          <w:sz w:val="24"/>
          <w:szCs w:val="24"/>
        </w:rPr>
        <w:t>, recaída en el expediente</w:t>
      </w:r>
      <w:r w:rsidR="00B75A5F" w:rsidRPr="00595795">
        <w:rPr>
          <w:rFonts w:ascii="Arial" w:hAnsi="Arial" w:cs="Arial"/>
          <w:bCs/>
          <w:sz w:val="24"/>
          <w:szCs w:val="24"/>
        </w:rPr>
        <w:t xml:space="preserve"> </w:t>
      </w:r>
      <w:r w:rsidR="00A67E1E" w:rsidRPr="00A67E1E">
        <w:rPr>
          <w:rFonts w:ascii="Arial" w:hAnsi="Arial" w:cs="Arial"/>
          <w:bCs/>
          <w:sz w:val="24"/>
          <w:szCs w:val="24"/>
        </w:rPr>
        <w:t>C/1144/20 CAIXABANK / BANKIA</w:t>
      </w:r>
      <w:r w:rsidR="002F7C62" w:rsidRPr="00595795">
        <w:rPr>
          <w:rFonts w:ascii="Arial" w:hAnsi="Arial" w:cs="Arial"/>
          <w:bCs/>
          <w:sz w:val="24"/>
          <w:szCs w:val="24"/>
        </w:rPr>
        <w:t xml:space="preserve">. </w:t>
      </w:r>
    </w:p>
    <w:p w14:paraId="379AF258" w14:textId="77777777" w:rsidR="00350719" w:rsidRDefault="002F7C62" w:rsidP="00EE40E0">
      <w:pPr>
        <w:pStyle w:val="Prrafodelista"/>
        <w:numPr>
          <w:ilvl w:val="0"/>
          <w:numId w:val="4"/>
        </w:numPr>
        <w:spacing w:before="360" w:after="0" w:line="240" w:lineRule="auto"/>
        <w:ind w:left="426" w:hanging="437"/>
        <w:rPr>
          <w:rFonts w:ascii="Arial" w:hAnsi="Arial" w:cs="Arial"/>
          <w:b/>
          <w:sz w:val="24"/>
          <w:szCs w:val="24"/>
        </w:rPr>
      </w:pPr>
      <w:r w:rsidRPr="002F7C62">
        <w:rPr>
          <w:rFonts w:ascii="Arial" w:hAnsi="Arial" w:cs="Arial"/>
          <w:b/>
          <w:sz w:val="24"/>
          <w:szCs w:val="24"/>
        </w:rPr>
        <w:t xml:space="preserve">ANTECEDENTES </w:t>
      </w:r>
    </w:p>
    <w:p w14:paraId="4E4FEDAA" w14:textId="77777777" w:rsidR="00990DC5" w:rsidRPr="002F7C62" w:rsidRDefault="00990DC5" w:rsidP="00990DC5">
      <w:pPr>
        <w:pStyle w:val="Prrafodelista"/>
        <w:spacing w:before="360" w:after="0" w:line="240" w:lineRule="auto"/>
        <w:ind w:left="426"/>
        <w:rPr>
          <w:rFonts w:ascii="Arial" w:hAnsi="Arial" w:cs="Arial"/>
          <w:b/>
          <w:sz w:val="24"/>
          <w:szCs w:val="24"/>
        </w:rPr>
      </w:pPr>
    </w:p>
    <w:p w14:paraId="121ADF43" w14:textId="65C3FE4A" w:rsidR="00FB4F84" w:rsidRDefault="00FB4F84" w:rsidP="00EE75BE">
      <w:pPr>
        <w:pStyle w:val="Prrafodelista"/>
        <w:numPr>
          <w:ilvl w:val="0"/>
          <w:numId w:val="22"/>
        </w:numPr>
        <w:spacing w:after="120" w:line="240" w:lineRule="auto"/>
        <w:ind w:left="284" w:hanging="284"/>
        <w:jc w:val="both"/>
        <w:rPr>
          <w:rFonts w:ascii="Arial" w:eastAsia="Times New Roman" w:hAnsi="Arial" w:cs="Arial"/>
          <w:sz w:val="24"/>
          <w:szCs w:val="24"/>
          <w:lang w:eastAsia="es-ES"/>
        </w:rPr>
      </w:pPr>
      <w:r w:rsidRPr="00FB4F84">
        <w:rPr>
          <w:rFonts w:ascii="Arial" w:eastAsia="Times New Roman" w:hAnsi="Arial" w:cs="Arial"/>
          <w:sz w:val="24"/>
          <w:szCs w:val="24"/>
          <w:lang w:eastAsia="es-ES"/>
        </w:rPr>
        <w:t xml:space="preserve">Con fecha 23 de marzo de 2021, el Consejo de la </w:t>
      </w:r>
      <w:r w:rsidR="00931EF3">
        <w:rPr>
          <w:rFonts w:ascii="Arial" w:eastAsia="Times New Roman" w:hAnsi="Arial" w:cs="Arial"/>
          <w:sz w:val="24"/>
          <w:szCs w:val="24"/>
          <w:lang w:eastAsia="es-ES"/>
        </w:rPr>
        <w:t xml:space="preserve">CNMC </w:t>
      </w:r>
      <w:r w:rsidRPr="00FB4F84">
        <w:rPr>
          <w:rFonts w:ascii="Arial" w:eastAsia="Times New Roman" w:hAnsi="Arial" w:cs="Arial"/>
          <w:sz w:val="24"/>
          <w:szCs w:val="24"/>
          <w:lang w:eastAsia="es-ES"/>
        </w:rPr>
        <w:t xml:space="preserve">dictó </w:t>
      </w:r>
      <w:r w:rsidR="00AD4B8A">
        <w:rPr>
          <w:rFonts w:ascii="Arial" w:eastAsia="Times New Roman" w:hAnsi="Arial" w:cs="Arial"/>
          <w:sz w:val="24"/>
          <w:szCs w:val="24"/>
          <w:lang w:eastAsia="es-ES"/>
        </w:rPr>
        <w:t>r</w:t>
      </w:r>
      <w:r w:rsidRPr="00FB4F84">
        <w:rPr>
          <w:rFonts w:ascii="Arial" w:eastAsia="Times New Roman" w:hAnsi="Arial" w:cs="Arial"/>
          <w:sz w:val="24"/>
          <w:szCs w:val="24"/>
          <w:lang w:eastAsia="es-ES"/>
        </w:rPr>
        <w:t xml:space="preserve">esolución en el marco del expediente de concentración económica C/1144/21 CAIXABANK / BANKIA, consistente en la fusión por absorción de BANKIA, S. A. (BANKIA) por CAIXABANK, S.A. (CAIXABANK), mediante la que se acordaba la autorización de </w:t>
      </w:r>
      <w:proofErr w:type="gramStart"/>
      <w:r w:rsidRPr="00FB4F84">
        <w:rPr>
          <w:rFonts w:ascii="Arial" w:eastAsia="Times New Roman" w:hAnsi="Arial" w:cs="Arial"/>
          <w:sz w:val="24"/>
          <w:szCs w:val="24"/>
          <w:lang w:eastAsia="es-ES"/>
        </w:rPr>
        <w:t>la</w:t>
      </w:r>
      <w:r>
        <w:rPr>
          <w:rFonts w:ascii="Arial" w:eastAsia="Times New Roman" w:hAnsi="Arial" w:cs="Arial"/>
          <w:sz w:val="24"/>
          <w:szCs w:val="24"/>
          <w:lang w:eastAsia="es-ES"/>
        </w:rPr>
        <w:t xml:space="preserve"> </w:t>
      </w:r>
      <w:r w:rsidRPr="00FB4F84">
        <w:rPr>
          <w:rFonts w:ascii="Arial" w:eastAsia="Times New Roman" w:hAnsi="Arial" w:cs="Arial"/>
          <w:sz w:val="24"/>
          <w:szCs w:val="24"/>
          <w:lang w:eastAsia="es-ES"/>
        </w:rPr>
        <w:t>misma</w:t>
      </w:r>
      <w:proofErr w:type="gramEnd"/>
      <w:r w:rsidRPr="00FB4F84">
        <w:rPr>
          <w:rFonts w:ascii="Arial" w:eastAsia="Times New Roman" w:hAnsi="Arial" w:cs="Arial"/>
          <w:sz w:val="24"/>
          <w:szCs w:val="24"/>
          <w:lang w:eastAsia="es-ES"/>
        </w:rPr>
        <w:t xml:space="preserve"> con sujeción al cumplimiento de los compromisos propuestos por la notificante en fecha 18 de marzo de 2021.</w:t>
      </w:r>
    </w:p>
    <w:p w14:paraId="77B84A23" w14:textId="77777777" w:rsidR="00FB4F84" w:rsidRDefault="00FB4F84" w:rsidP="00EE75BE">
      <w:pPr>
        <w:pStyle w:val="Prrafodelista"/>
        <w:spacing w:after="120" w:line="240" w:lineRule="auto"/>
        <w:ind w:left="284"/>
        <w:jc w:val="both"/>
        <w:rPr>
          <w:rFonts w:ascii="Arial" w:eastAsia="Times New Roman" w:hAnsi="Arial" w:cs="Arial"/>
          <w:sz w:val="24"/>
          <w:szCs w:val="24"/>
          <w:lang w:eastAsia="es-ES"/>
        </w:rPr>
      </w:pPr>
    </w:p>
    <w:p w14:paraId="56A82B68" w14:textId="2042E195" w:rsidR="00095599" w:rsidRPr="007C7461" w:rsidRDefault="00FB4F84" w:rsidP="00A733ED">
      <w:pPr>
        <w:pStyle w:val="Prrafodelista"/>
        <w:numPr>
          <w:ilvl w:val="0"/>
          <w:numId w:val="22"/>
        </w:numPr>
        <w:spacing w:after="120" w:line="240" w:lineRule="auto"/>
        <w:ind w:left="284" w:hanging="284"/>
        <w:jc w:val="both"/>
        <w:rPr>
          <w:rFonts w:ascii="Arial" w:hAnsi="Arial" w:cs="Arial"/>
          <w:bCs/>
          <w:sz w:val="24"/>
          <w:szCs w:val="24"/>
        </w:rPr>
      </w:pPr>
      <w:r w:rsidRPr="00A342B4">
        <w:rPr>
          <w:rFonts w:ascii="Arial" w:eastAsia="Times New Roman" w:hAnsi="Arial" w:cs="Arial"/>
          <w:bCs/>
          <w:iCs/>
          <w:sz w:val="24"/>
          <w:szCs w:val="24"/>
          <w:lang w:eastAsia="es-ES"/>
        </w:rPr>
        <w:t>Con fecha 8 de abril de 2021,</w:t>
      </w:r>
      <w:r w:rsidRPr="00A342B4">
        <w:rPr>
          <w:rFonts w:ascii="Arial" w:eastAsia="Times New Roman" w:hAnsi="Arial" w:cs="Arial"/>
          <w:sz w:val="24"/>
          <w:szCs w:val="24"/>
          <w:lang w:eastAsia="es-ES"/>
        </w:rPr>
        <w:t xml:space="preserve"> </w:t>
      </w:r>
      <w:r w:rsidRPr="00A342B4">
        <w:rPr>
          <w:rFonts w:ascii="Arial" w:eastAsia="Times New Roman" w:hAnsi="Arial" w:cs="Arial"/>
          <w:bCs/>
          <w:iCs/>
          <w:sz w:val="24"/>
          <w:szCs w:val="24"/>
          <w:lang w:eastAsia="es-ES"/>
        </w:rPr>
        <w:t>tuvo entrada en la CNMC escrito de CAIXABANK</w:t>
      </w:r>
      <w:r w:rsidRPr="00A342B4">
        <w:rPr>
          <w:sz w:val="20"/>
          <w:lang w:val="pt-BR"/>
        </w:rPr>
        <w:t xml:space="preserve"> </w:t>
      </w:r>
      <w:r w:rsidRPr="00A342B4">
        <w:rPr>
          <w:rFonts w:ascii="Arial" w:hAnsi="Arial" w:cs="Arial"/>
          <w:sz w:val="24"/>
          <w:szCs w:val="24"/>
          <w:lang w:val="pt-BR"/>
        </w:rPr>
        <w:t>(</w:t>
      </w:r>
      <w:proofErr w:type="spellStart"/>
      <w:r w:rsidRPr="00A342B4">
        <w:rPr>
          <w:rFonts w:ascii="Arial" w:hAnsi="Arial" w:cs="Arial"/>
          <w:sz w:val="24"/>
          <w:szCs w:val="24"/>
          <w:lang w:val="pt-BR"/>
        </w:rPr>
        <w:t>folios</w:t>
      </w:r>
      <w:proofErr w:type="spellEnd"/>
      <w:r w:rsidRPr="00A342B4">
        <w:rPr>
          <w:rFonts w:ascii="Arial" w:hAnsi="Arial" w:cs="Arial"/>
          <w:sz w:val="24"/>
          <w:szCs w:val="24"/>
          <w:lang w:val="pt-BR"/>
        </w:rPr>
        <w:t xml:space="preserve"> 311 a 318) </w:t>
      </w:r>
      <w:r w:rsidRPr="00A342B4">
        <w:rPr>
          <w:rFonts w:ascii="Arial" w:eastAsia="Times New Roman" w:hAnsi="Arial" w:cs="Arial"/>
          <w:bCs/>
          <w:iCs/>
          <w:sz w:val="24"/>
          <w:szCs w:val="24"/>
          <w:lang w:eastAsia="es-ES"/>
        </w:rPr>
        <w:t>comunicando que el cierre de la operación se había producido el 26 de marzo de 2021</w:t>
      </w:r>
      <w:r w:rsidRPr="00A342B4">
        <w:rPr>
          <w:rFonts w:ascii="Arial" w:eastAsia="Times New Roman" w:hAnsi="Arial" w:cs="Arial"/>
          <w:sz w:val="24"/>
          <w:szCs w:val="24"/>
          <w:lang w:eastAsia="es-ES"/>
        </w:rPr>
        <w:t xml:space="preserve">, </w:t>
      </w:r>
      <w:r w:rsidRPr="00A342B4">
        <w:rPr>
          <w:rFonts w:ascii="Arial" w:eastAsia="Times New Roman" w:hAnsi="Arial" w:cs="Arial"/>
          <w:bCs/>
          <w:iCs/>
          <w:sz w:val="24"/>
          <w:szCs w:val="24"/>
          <w:lang w:eastAsia="es-ES"/>
        </w:rPr>
        <w:t xml:space="preserve">con la inscripción de la escritura de fusión en el Registro </w:t>
      </w:r>
      <w:r w:rsidRPr="00A342B4">
        <w:rPr>
          <w:rFonts w:ascii="Arial" w:eastAsia="Times New Roman" w:hAnsi="Arial" w:cs="Arial"/>
          <w:bCs/>
          <w:iCs/>
          <w:sz w:val="24"/>
          <w:szCs w:val="24"/>
          <w:lang w:eastAsia="es-ES"/>
        </w:rPr>
        <w:lastRenderedPageBreak/>
        <w:t>Mercantil de Valencia</w:t>
      </w:r>
      <w:r w:rsidR="00095599" w:rsidRPr="00A342B4">
        <w:rPr>
          <w:rFonts w:ascii="Arial" w:eastAsia="Times New Roman" w:hAnsi="Arial" w:cs="Arial"/>
          <w:bCs/>
          <w:iCs/>
          <w:sz w:val="24"/>
          <w:szCs w:val="24"/>
          <w:lang w:eastAsia="es-ES"/>
        </w:rPr>
        <w:t>.</w:t>
      </w:r>
      <w:r w:rsidR="00A342B4">
        <w:rPr>
          <w:rFonts w:ascii="Arial" w:eastAsia="Times New Roman" w:hAnsi="Arial" w:cs="Arial"/>
          <w:bCs/>
          <w:iCs/>
          <w:sz w:val="24"/>
          <w:szCs w:val="24"/>
          <w:lang w:eastAsia="es-ES"/>
        </w:rPr>
        <w:t xml:space="preserve"> </w:t>
      </w:r>
      <w:r w:rsidR="00095599" w:rsidRPr="00A342B4">
        <w:rPr>
          <w:rFonts w:ascii="Arial" w:hAnsi="Arial" w:cs="Arial"/>
          <w:bCs/>
          <w:iCs/>
          <w:sz w:val="24"/>
          <w:szCs w:val="24"/>
        </w:rPr>
        <w:t>Mediante esta comunicación, CAIXABANK procedió a cumplir dentro del plazo previsto con lo dispuesto en los citados compromisos, en cuyo apartado 9 (</w:t>
      </w:r>
      <w:proofErr w:type="spellStart"/>
      <w:r w:rsidR="00095599" w:rsidRPr="00A342B4">
        <w:rPr>
          <w:rFonts w:ascii="Arial" w:hAnsi="Arial" w:cs="Arial"/>
          <w:bCs/>
          <w:iCs/>
          <w:sz w:val="24"/>
          <w:szCs w:val="24"/>
        </w:rPr>
        <w:t>ii</w:t>
      </w:r>
      <w:proofErr w:type="spellEnd"/>
      <w:r w:rsidR="00095599" w:rsidRPr="00A342B4">
        <w:rPr>
          <w:rFonts w:ascii="Arial" w:hAnsi="Arial" w:cs="Arial"/>
          <w:bCs/>
          <w:iCs/>
          <w:sz w:val="24"/>
          <w:szCs w:val="24"/>
        </w:rPr>
        <w:t xml:space="preserve">) se establece que </w:t>
      </w:r>
      <w:r w:rsidR="00095599" w:rsidRPr="00A342B4">
        <w:rPr>
          <w:rFonts w:ascii="Arial" w:hAnsi="Arial" w:cs="Arial"/>
          <w:bCs/>
          <w:i/>
          <w:iCs/>
          <w:sz w:val="24"/>
          <w:szCs w:val="24"/>
        </w:rPr>
        <w:t>“[…] CaixaBank informará a la Dirección de Competencia del cierre de la Operación, así como del envío efectivo de las comunicaciones a las que se refiere el apartado 4(B) anterior con copia de las comunicaciones efectivamente enviadas, en un plazo de 10 días hábiles desde el cierre de la Operación o del envío efectivo de las comunicaciones, respectivamente</w:t>
      </w:r>
      <w:r w:rsidR="00095599" w:rsidRPr="00A342B4">
        <w:rPr>
          <w:rFonts w:ascii="Arial" w:hAnsi="Arial" w:cs="Arial"/>
          <w:bCs/>
          <w:iCs/>
          <w:sz w:val="24"/>
          <w:szCs w:val="24"/>
        </w:rPr>
        <w:t>”.</w:t>
      </w:r>
    </w:p>
    <w:p w14:paraId="40B79B41" w14:textId="77777777" w:rsidR="007C7461" w:rsidRPr="007C7461" w:rsidRDefault="007C7461" w:rsidP="007C7461">
      <w:pPr>
        <w:pStyle w:val="Prrafodelista"/>
        <w:rPr>
          <w:rFonts w:ascii="Arial" w:hAnsi="Arial" w:cs="Arial"/>
          <w:bCs/>
          <w:sz w:val="24"/>
          <w:szCs w:val="24"/>
        </w:rPr>
      </w:pPr>
    </w:p>
    <w:p w14:paraId="40D4D9E2" w14:textId="1E8DBBA9" w:rsidR="007C7461" w:rsidRPr="00A342B4" w:rsidRDefault="007C7461" w:rsidP="00A733ED">
      <w:pPr>
        <w:pStyle w:val="Prrafodelista"/>
        <w:numPr>
          <w:ilvl w:val="0"/>
          <w:numId w:val="22"/>
        </w:numPr>
        <w:spacing w:after="120" w:line="240" w:lineRule="auto"/>
        <w:ind w:left="284" w:hanging="284"/>
        <w:jc w:val="both"/>
        <w:rPr>
          <w:rFonts w:ascii="Arial" w:hAnsi="Arial" w:cs="Arial"/>
          <w:bCs/>
          <w:sz w:val="24"/>
          <w:szCs w:val="24"/>
        </w:rPr>
      </w:pPr>
      <w:r w:rsidRPr="007C7461">
        <w:rPr>
          <w:rFonts w:ascii="Arial" w:eastAsia="Times New Roman" w:hAnsi="Arial" w:cs="Arial"/>
          <w:sz w:val="24"/>
          <w:szCs w:val="24"/>
          <w:lang w:eastAsia="es-ES"/>
        </w:rPr>
        <w:t xml:space="preserve">Con fecha 8 de junio de 2021, el Consejo de la CNMC dictó </w:t>
      </w:r>
      <w:r>
        <w:rPr>
          <w:rFonts w:ascii="Arial" w:eastAsia="Times New Roman" w:hAnsi="Arial" w:cs="Arial"/>
          <w:sz w:val="24"/>
          <w:szCs w:val="24"/>
          <w:lang w:eastAsia="es-ES"/>
        </w:rPr>
        <w:t>r</w:t>
      </w:r>
      <w:r w:rsidRPr="007C7461">
        <w:rPr>
          <w:rFonts w:ascii="Arial" w:eastAsia="Times New Roman" w:hAnsi="Arial" w:cs="Arial"/>
          <w:sz w:val="24"/>
          <w:szCs w:val="24"/>
          <w:lang w:eastAsia="es-ES"/>
        </w:rPr>
        <w:t xml:space="preserve">esolución, autorizando las primeras comunicaciones presentadas por CAIXABANK en su escrito de 27 de mayo de 2021, a los efectos de lo dispuesto en el apartado 4 de la propuesta de compromisos aprobados por su </w:t>
      </w:r>
      <w:r>
        <w:rPr>
          <w:rFonts w:ascii="Arial" w:eastAsia="Times New Roman" w:hAnsi="Arial" w:cs="Arial"/>
          <w:sz w:val="24"/>
          <w:szCs w:val="24"/>
          <w:lang w:eastAsia="es-ES"/>
        </w:rPr>
        <w:t>r</w:t>
      </w:r>
      <w:r w:rsidRPr="007C7461">
        <w:rPr>
          <w:rFonts w:ascii="Arial" w:eastAsia="Times New Roman" w:hAnsi="Arial" w:cs="Arial"/>
          <w:sz w:val="24"/>
          <w:szCs w:val="24"/>
          <w:lang w:eastAsia="es-ES"/>
        </w:rPr>
        <w:t>esolución de 23 de marzo de 2021</w:t>
      </w:r>
    </w:p>
    <w:p w14:paraId="373777AA" w14:textId="77777777" w:rsidR="00EF52B0" w:rsidRPr="00EF52B0" w:rsidRDefault="00EF52B0" w:rsidP="00337F46">
      <w:pPr>
        <w:numPr>
          <w:ilvl w:val="0"/>
          <w:numId w:val="22"/>
        </w:numPr>
        <w:spacing w:after="120" w:line="240" w:lineRule="auto"/>
        <w:ind w:left="284" w:hanging="284"/>
        <w:jc w:val="both"/>
        <w:rPr>
          <w:rFonts w:ascii="Arial" w:hAnsi="Arial" w:cs="Arial"/>
          <w:bCs/>
          <w:iCs/>
          <w:sz w:val="24"/>
          <w:szCs w:val="24"/>
        </w:rPr>
      </w:pPr>
      <w:r w:rsidRPr="00EF52B0">
        <w:rPr>
          <w:rFonts w:ascii="Arial" w:hAnsi="Arial" w:cs="Arial"/>
          <w:bCs/>
          <w:iCs/>
          <w:sz w:val="24"/>
          <w:szCs w:val="24"/>
        </w:rPr>
        <w:t>Con fecha 1 de julio de 2021, CAIXABANK procedió a aportar el segundo conjunto de comunicaciones , a efectos de lo dispuesto en el compromiso relativo a las comunicaciones a los clientes (descrito en el apartado 4 de la referida propuesta de compromisos), concretamente en relación con la previsión de aprobación por la CNMC de los borradores de las comunicaciones contempladas en el mismo, a los efectos de poder ser inmediatamente remitidas por CAIXABANK a los clientes afectados en caso de obtenerse su aprobación .</w:t>
      </w:r>
    </w:p>
    <w:p w14:paraId="65F68B86" w14:textId="0D84AEB8" w:rsidR="00EF52B0" w:rsidRPr="00EF52B0" w:rsidRDefault="00EF52B0" w:rsidP="00EF6340">
      <w:pPr>
        <w:spacing w:after="120" w:line="240" w:lineRule="auto"/>
        <w:ind w:left="284"/>
        <w:jc w:val="both"/>
        <w:rPr>
          <w:rFonts w:ascii="Arial" w:hAnsi="Arial" w:cs="Arial"/>
          <w:bCs/>
          <w:iCs/>
          <w:sz w:val="24"/>
          <w:szCs w:val="24"/>
        </w:rPr>
      </w:pPr>
      <w:r w:rsidRPr="00EF52B0">
        <w:rPr>
          <w:rFonts w:ascii="Arial" w:hAnsi="Arial" w:cs="Arial"/>
          <w:bCs/>
          <w:iCs/>
          <w:sz w:val="24"/>
          <w:szCs w:val="24"/>
        </w:rPr>
        <w:t>En particular, esta documentación se refiere a dos tipos o bloques de comunicados que conllevan las siguientes modificaciones en los productos de los clientes procedentes de BANKIA: (i) la modificación de cuentas asociadas a productos de Banca Privada, valores, fondos y cartera, así como (</w:t>
      </w:r>
      <w:proofErr w:type="spellStart"/>
      <w:r w:rsidRPr="00EF52B0">
        <w:rPr>
          <w:rFonts w:ascii="Arial" w:hAnsi="Arial" w:cs="Arial"/>
          <w:bCs/>
          <w:iCs/>
          <w:sz w:val="24"/>
          <w:szCs w:val="24"/>
        </w:rPr>
        <w:t>ii</w:t>
      </w:r>
      <w:proofErr w:type="spellEnd"/>
      <w:r w:rsidRPr="00EF52B0">
        <w:rPr>
          <w:rFonts w:ascii="Arial" w:hAnsi="Arial" w:cs="Arial"/>
          <w:bCs/>
          <w:iCs/>
          <w:sz w:val="24"/>
          <w:szCs w:val="24"/>
        </w:rPr>
        <w:t>) la modificación de condiciones contractuales de los contratos de Terminal de Punto de Venta (TPV).</w:t>
      </w:r>
    </w:p>
    <w:p w14:paraId="208508AD" w14:textId="36443BEF" w:rsidR="00035EC4" w:rsidRPr="0087033E" w:rsidRDefault="00261BE6" w:rsidP="00A342B4">
      <w:pPr>
        <w:pStyle w:val="Prrafodelista"/>
        <w:numPr>
          <w:ilvl w:val="0"/>
          <w:numId w:val="22"/>
        </w:numPr>
        <w:autoSpaceDE w:val="0"/>
        <w:autoSpaceDN w:val="0"/>
        <w:adjustRightInd w:val="0"/>
        <w:spacing w:after="120" w:line="240" w:lineRule="auto"/>
        <w:ind w:left="284" w:hanging="284"/>
        <w:jc w:val="both"/>
        <w:rPr>
          <w:rFonts w:ascii="Arial" w:eastAsia="Times New Roman" w:hAnsi="Arial" w:cs="Arial"/>
          <w:sz w:val="24"/>
          <w:szCs w:val="24"/>
          <w:lang w:eastAsia="es-ES"/>
        </w:rPr>
      </w:pPr>
      <w:r w:rsidRPr="0087033E">
        <w:rPr>
          <w:rFonts w:ascii="Arial" w:eastAsia="Times New Roman" w:hAnsi="Arial" w:cs="Arial"/>
          <w:bCs/>
          <w:iCs/>
          <w:sz w:val="24"/>
          <w:szCs w:val="24"/>
          <w:lang w:eastAsia="es-ES"/>
        </w:rPr>
        <w:t xml:space="preserve">Con fecha </w:t>
      </w:r>
      <w:r w:rsidR="00EF6340">
        <w:rPr>
          <w:rFonts w:ascii="Arial" w:eastAsia="Times New Roman" w:hAnsi="Arial" w:cs="Arial"/>
          <w:bCs/>
          <w:iCs/>
          <w:sz w:val="24"/>
          <w:szCs w:val="24"/>
          <w:lang w:eastAsia="es-ES"/>
        </w:rPr>
        <w:t>8</w:t>
      </w:r>
      <w:r w:rsidRPr="0087033E">
        <w:rPr>
          <w:rFonts w:ascii="Arial" w:eastAsia="Times New Roman" w:hAnsi="Arial" w:cs="Arial"/>
          <w:bCs/>
          <w:iCs/>
          <w:sz w:val="24"/>
          <w:szCs w:val="24"/>
          <w:lang w:eastAsia="es-ES"/>
        </w:rPr>
        <w:t xml:space="preserve"> </w:t>
      </w:r>
      <w:r w:rsidR="00E8719F" w:rsidRPr="0087033E">
        <w:rPr>
          <w:rFonts w:ascii="Arial" w:eastAsia="Times New Roman" w:hAnsi="Arial" w:cs="Arial"/>
          <w:bCs/>
          <w:iCs/>
          <w:sz w:val="24"/>
          <w:szCs w:val="24"/>
          <w:lang w:eastAsia="es-ES"/>
        </w:rPr>
        <w:t xml:space="preserve">de </w:t>
      </w:r>
      <w:r w:rsidR="00431721" w:rsidRPr="0087033E">
        <w:rPr>
          <w:rFonts w:ascii="Arial" w:eastAsia="Times New Roman" w:hAnsi="Arial" w:cs="Arial"/>
          <w:bCs/>
          <w:iCs/>
          <w:sz w:val="24"/>
          <w:szCs w:val="24"/>
          <w:lang w:eastAsia="es-ES"/>
        </w:rPr>
        <w:t>ju</w:t>
      </w:r>
      <w:r w:rsidR="00EF6340">
        <w:rPr>
          <w:rFonts w:ascii="Arial" w:eastAsia="Times New Roman" w:hAnsi="Arial" w:cs="Arial"/>
          <w:bCs/>
          <w:iCs/>
          <w:sz w:val="24"/>
          <w:szCs w:val="24"/>
          <w:lang w:eastAsia="es-ES"/>
        </w:rPr>
        <w:t>li</w:t>
      </w:r>
      <w:r w:rsidR="00431721" w:rsidRPr="0087033E">
        <w:rPr>
          <w:rFonts w:ascii="Arial" w:eastAsia="Times New Roman" w:hAnsi="Arial" w:cs="Arial"/>
          <w:bCs/>
          <w:iCs/>
          <w:sz w:val="24"/>
          <w:szCs w:val="24"/>
          <w:lang w:eastAsia="es-ES"/>
        </w:rPr>
        <w:t xml:space="preserve">o </w:t>
      </w:r>
      <w:r w:rsidR="00A21745" w:rsidRPr="0087033E">
        <w:rPr>
          <w:rFonts w:ascii="Arial" w:eastAsia="Times New Roman" w:hAnsi="Arial" w:cs="Arial"/>
          <w:bCs/>
          <w:iCs/>
          <w:sz w:val="24"/>
          <w:szCs w:val="24"/>
          <w:lang w:eastAsia="es-ES"/>
        </w:rPr>
        <w:t>de 20</w:t>
      </w:r>
      <w:r w:rsidR="00327A1C" w:rsidRPr="0087033E">
        <w:rPr>
          <w:rFonts w:ascii="Arial" w:eastAsia="Times New Roman" w:hAnsi="Arial" w:cs="Arial"/>
          <w:bCs/>
          <w:iCs/>
          <w:sz w:val="24"/>
          <w:szCs w:val="24"/>
          <w:lang w:eastAsia="es-ES"/>
        </w:rPr>
        <w:t>2</w:t>
      </w:r>
      <w:r w:rsidR="00BB699F">
        <w:rPr>
          <w:rFonts w:ascii="Arial" w:eastAsia="Times New Roman" w:hAnsi="Arial" w:cs="Arial"/>
          <w:bCs/>
          <w:iCs/>
          <w:sz w:val="24"/>
          <w:szCs w:val="24"/>
          <w:lang w:eastAsia="es-ES"/>
        </w:rPr>
        <w:t>1</w:t>
      </w:r>
      <w:r w:rsidR="00A21745" w:rsidRPr="0087033E">
        <w:rPr>
          <w:rFonts w:ascii="Arial" w:eastAsia="Times New Roman" w:hAnsi="Arial" w:cs="Arial"/>
          <w:bCs/>
          <w:iCs/>
          <w:sz w:val="24"/>
          <w:szCs w:val="24"/>
          <w:lang w:eastAsia="es-ES"/>
        </w:rPr>
        <w:t xml:space="preserve">, la </w:t>
      </w:r>
      <w:r w:rsidR="00B35C51" w:rsidRPr="0087033E">
        <w:rPr>
          <w:rFonts w:ascii="Arial" w:eastAsia="Times New Roman" w:hAnsi="Arial" w:cs="Arial"/>
          <w:bCs/>
          <w:sz w:val="24"/>
          <w:szCs w:val="24"/>
          <w:lang w:eastAsia="es-ES"/>
        </w:rPr>
        <w:t>Dirección de Competencia</w:t>
      </w:r>
      <w:r w:rsidR="00C84234">
        <w:rPr>
          <w:rFonts w:ascii="Arial" w:eastAsia="Times New Roman" w:hAnsi="Arial" w:cs="Arial"/>
          <w:bCs/>
          <w:sz w:val="24"/>
          <w:szCs w:val="24"/>
          <w:lang w:eastAsia="es-ES"/>
        </w:rPr>
        <w:t xml:space="preserve"> (DC)</w:t>
      </w:r>
      <w:r w:rsidR="00B35C51" w:rsidRPr="0087033E">
        <w:rPr>
          <w:rFonts w:ascii="Arial" w:eastAsia="Times New Roman" w:hAnsi="Arial" w:cs="Arial"/>
          <w:bCs/>
          <w:iCs/>
          <w:sz w:val="24"/>
          <w:szCs w:val="24"/>
          <w:lang w:eastAsia="es-ES"/>
        </w:rPr>
        <w:t xml:space="preserve"> </w:t>
      </w:r>
      <w:r w:rsidR="00A21745" w:rsidRPr="0087033E">
        <w:rPr>
          <w:rFonts w:ascii="Arial" w:eastAsia="Times New Roman" w:hAnsi="Arial" w:cs="Arial"/>
          <w:bCs/>
          <w:iCs/>
          <w:sz w:val="24"/>
          <w:szCs w:val="24"/>
          <w:lang w:eastAsia="es-ES"/>
        </w:rPr>
        <w:t>ele</w:t>
      </w:r>
      <w:r w:rsidR="00EC22E0" w:rsidRPr="0087033E">
        <w:rPr>
          <w:rFonts w:ascii="Arial" w:eastAsia="Times New Roman" w:hAnsi="Arial" w:cs="Arial"/>
          <w:bCs/>
          <w:iCs/>
          <w:sz w:val="24"/>
          <w:szCs w:val="24"/>
          <w:lang w:eastAsia="es-ES"/>
        </w:rPr>
        <w:t xml:space="preserve">vó a la Sala de Competencia su </w:t>
      </w:r>
      <w:r w:rsidR="00A16957" w:rsidRPr="0087033E">
        <w:rPr>
          <w:rFonts w:ascii="Arial" w:eastAsia="Times New Roman" w:hAnsi="Arial" w:cs="Arial"/>
          <w:bCs/>
          <w:iCs/>
          <w:sz w:val="24"/>
          <w:szCs w:val="24"/>
          <w:lang w:eastAsia="es-ES"/>
        </w:rPr>
        <w:t>i</w:t>
      </w:r>
      <w:r w:rsidR="00A21745" w:rsidRPr="0087033E">
        <w:rPr>
          <w:rFonts w:ascii="Arial" w:eastAsia="Times New Roman" w:hAnsi="Arial" w:cs="Arial"/>
          <w:bCs/>
          <w:iCs/>
          <w:sz w:val="24"/>
          <w:szCs w:val="24"/>
          <w:lang w:eastAsia="es-ES"/>
        </w:rPr>
        <w:t xml:space="preserve">nforme </w:t>
      </w:r>
      <w:r w:rsidR="007B03C3" w:rsidRPr="0087033E">
        <w:rPr>
          <w:rFonts w:ascii="Arial" w:eastAsia="Times New Roman" w:hAnsi="Arial" w:cs="Arial"/>
          <w:bCs/>
          <w:iCs/>
          <w:sz w:val="24"/>
          <w:szCs w:val="24"/>
          <w:lang w:eastAsia="es-ES"/>
        </w:rPr>
        <w:t xml:space="preserve">parcial </w:t>
      </w:r>
      <w:r w:rsidR="00A21745" w:rsidRPr="0087033E">
        <w:rPr>
          <w:rFonts w:ascii="Arial" w:eastAsia="Times New Roman" w:hAnsi="Arial" w:cs="Arial"/>
          <w:bCs/>
          <w:iCs/>
          <w:sz w:val="24"/>
          <w:szCs w:val="24"/>
          <w:lang w:eastAsia="es-ES"/>
        </w:rPr>
        <w:t xml:space="preserve">de </w:t>
      </w:r>
      <w:r w:rsidR="00EC22E0" w:rsidRPr="0087033E">
        <w:rPr>
          <w:rFonts w:ascii="Arial" w:eastAsia="Times New Roman" w:hAnsi="Arial" w:cs="Arial"/>
          <w:bCs/>
          <w:iCs/>
          <w:sz w:val="24"/>
          <w:szCs w:val="24"/>
          <w:lang w:eastAsia="es-ES"/>
        </w:rPr>
        <w:t>v</w:t>
      </w:r>
      <w:r w:rsidR="00A21745" w:rsidRPr="0087033E">
        <w:rPr>
          <w:rFonts w:ascii="Arial" w:eastAsia="Times New Roman" w:hAnsi="Arial" w:cs="Arial"/>
          <w:bCs/>
          <w:iCs/>
          <w:sz w:val="24"/>
          <w:szCs w:val="24"/>
          <w:lang w:eastAsia="es-ES"/>
        </w:rPr>
        <w:t>igilancia</w:t>
      </w:r>
      <w:r w:rsidR="00035EC4" w:rsidRPr="0087033E">
        <w:rPr>
          <w:rFonts w:ascii="Arial" w:hAnsi="Arial" w:cs="Arial"/>
          <w:bCs/>
          <w:sz w:val="24"/>
          <w:szCs w:val="24"/>
        </w:rPr>
        <w:t>.</w:t>
      </w:r>
    </w:p>
    <w:p w14:paraId="5BCC76BE" w14:textId="5B16E399" w:rsidR="00C0421B" w:rsidRPr="00C0421B" w:rsidRDefault="009E2038" w:rsidP="00A342B4">
      <w:pPr>
        <w:numPr>
          <w:ilvl w:val="0"/>
          <w:numId w:val="22"/>
        </w:numPr>
        <w:autoSpaceDE w:val="0"/>
        <w:autoSpaceDN w:val="0"/>
        <w:adjustRightInd w:val="0"/>
        <w:spacing w:after="120" w:line="240" w:lineRule="auto"/>
        <w:ind w:left="284" w:hanging="284"/>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Es </w:t>
      </w:r>
      <w:r w:rsidR="005062A3" w:rsidRPr="00C0421B">
        <w:rPr>
          <w:rFonts w:ascii="Arial" w:eastAsia="Times New Roman" w:hAnsi="Arial" w:cs="Arial"/>
          <w:sz w:val="24"/>
          <w:szCs w:val="24"/>
          <w:lang w:eastAsia="es-ES"/>
        </w:rPr>
        <w:t>interesado</w:t>
      </w:r>
      <w:r w:rsidR="00E8719F" w:rsidRPr="00C0421B">
        <w:rPr>
          <w:rFonts w:ascii="Arial" w:eastAsia="Times New Roman" w:hAnsi="Arial" w:cs="Arial"/>
          <w:sz w:val="24"/>
          <w:szCs w:val="24"/>
          <w:lang w:eastAsia="es-ES"/>
        </w:rPr>
        <w:t>:</w:t>
      </w:r>
      <w:r w:rsidR="00751F21" w:rsidRPr="00C0421B">
        <w:rPr>
          <w:rFonts w:ascii="Arial" w:eastAsia="Times New Roman" w:hAnsi="Arial" w:cs="Arial"/>
          <w:sz w:val="24"/>
          <w:szCs w:val="24"/>
          <w:lang w:eastAsia="es-ES"/>
        </w:rPr>
        <w:t xml:space="preserve"> </w:t>
      </w:r>
    </w:p>
    <w:p w14:paraId="6CD7B754" w14:textId="4BE8E1B6" w:rsidR="00035EC4" w:rsidRPr="00C0421B" w:rsidRDefault="00C0421B" w:rsidP="00C0421B">
      <w:pPr>
        <w:pStyle w:val="Prrafodelista"/>
        <w:numPr>
          <w:ilvl w:val="0"/>
          <w:numId w:val="23"/>
        </w:numPr>
        <w:autoSpaceDE w:val="0"/>
        <w:autoSpaceDN w:val="0"/>
        <w:adjustRightInd w:val="0"/>
        <w:spacing w:after="120" w:line="240" w:lineRule="auto"/>
        <w:jc w:val="both"/>
        <w:rPr>
          <w:rFonts w:ascii="Arial" w:eastAsia="Times New Roman" w:hAnsi="Arial" w:cs="Arial"/>
          <w:sz w:val="24"/>
          <w:szCs w:val="24"/>
          <w:lang w:eastAsia="es-ES"/>
        </w:rPr>
      </w:pPr>
      <w:r w:rsidRPr="00C0421B">
        <w:rPr>
          <w:rFonts w:ascii="Arial" w:eastAsia="Times New Roman" w:hAnsi="Arial" w:cs="Arial"/>
          <w:sz w:val="24"/>
          <w:szCs w:val="24"/>
          <w:lang w:eastAsia="es-ES"/>
        </w:rPr>
        <w:t xml:space="preserve">CAIXABANK, S.A. </w:t>
      </w:r>
    </w:p>
    <w:p w14:paraId="2AA10369" w14:textId="77777777" w:rsidR="006D6A13" w:rsidRDefault="006D6A13" w:rsidP="006D6A13">
      <w:pPr>
        <w:pStyle w:val="Prrafodelista"/>
        <w:rPr>
          <w:rFonts w:ascii="Arial" w:eastAsia="Times New Roman" w:hAnsi="Arial" w:cs="Arial"/>
          <w:sz w:val="24"/>
          <w:szCs w:val="24"/>
          <w:lang w:eastAsia="es-ES"/>
        </w:rPr>
      </w:pPr>
    </w:p>
    <w:p w14:paraId="421F4D3A" w14:textId="6D2F55F8" w:rsidR="004A6AE9" w:rsidRPr="007E1C97" w:rsidRDefault="00F54B7D" w:rsidP="00CD7043">
      <w:pPr>
        <w:pStyle w:val="Prrafodelista"/>
        <w:numPr>
          <w:ilvl w:val="0"/>
          <w:numId w:val="22"/>
        </w:numPr>
        <w:spacing w:after="0" w:line="240" w:lineRule="auto"/>
        <w:ind w:left="426" w:hanging="426"/>
        <w:jc w:val="both"/>
        <w:rPr>
          <w:rFonts w:ascii="Arial" w:eastAsia="Times New Roman" w:hAnsi="Arial" w:cs="Arial"/>
          <w:sz w:val="24"/>
          <w:szCs w:val="24"/>
          <w:lang w:eastAsia="es-ES"/>
        </w:rPr>
      </w:pPr>
      <w:r w:rsidRPr="007E1C97">
        <w:rPr>
          <w:rFonts w:ascii="Arial" w:eastAsia="Times New Roman" w:hAnsi="Arial" w:cs="Arial"/>
          <w:sz w:val="24"/>
          <w:szCs w:val="24"/>
          <w:lang w:eastAsia="es-ES"/>
        </w:rPr>
        <w:t xml:space="preserve">La Sala de Competencia del Consejo aprobó </w:t>
      </w:r>
      <w:r w:rsidR="00D80D85" w:rsidRPr="007E1C97">
        <w:rPr>
          <w:rFonts w:ascii="Arial" w:eastAsia="Times New Roman" w:hAnsi="Arial" w:cs="Arial"/>
          <w:sz w:val="24"/>
          <w:szCs w:val="24"/>
          <w:lang w:eastAsia="es-ES"/>
        </w:rPr>
        <w:t>este acuerdo</w:t>
      </w:r>
      <w:r w:rsidRPr="007E1C97">
        <w:rPr>
          <w:rFonts w:ascii="Arial" w:eastAsia="Times New Roman" w:hAnsi="Arial" w:cs="Arial"/>
          <w:sz w:val="24"/>
          <w:szCs w:val="24"/>
          <w:lang w:eastAsia="es-ES"/>
        </w:rPr>
        <w:t xml:space="preserve"> en su sesión del día </w:t>
      </w:r>
      <w:r w:rsidR="001734E1">
        <w:rPr>
          <w:rFonts w:ascii="Arial" w:eastAsia="Times New Roman" w:hAnsi="Arial" w:cs="Arial"/>
          <w:sz w:val="24"/>
          <w:szCs w:val="24"/>
          <w:lang w:eastAsia="es-ES"/>
        </w:rPr>
        <w:t>13</w:t>
      </w:r>
      <w:r w:rsidRPr="007E1C97">
        <w:rPr>
          <w:rFonts w:ascii="Arial" w:eastAsia="Times New Roman" w:hAnsi="Arial" w:cs="Arial"/>
          <w:sz w:val="24"/>
          <w:szCs w:val="24"/>
          <w:lang w:eastAsia="es-ES"/>
        </w:rPr>
        <w:t xml:space="preserve"> de </w:t>
      </w:r>
      <w:r w:rsidR="004A6AE9" w:rsidRPr="007E1C97">
        <w:rPr>
          <w:rFonts w:ascii="Arial" w:eastAsia="Times New Roman" w:hAnsi="Arial" w:cs="Arial"/>
          <w:sz w:val="24"/>
          <w:szCs w:val="24"/>
          <w:lang w:eastAsia="es-ES"/>
        </w:rPr>
        <w:t>ju</w:t>
      </w:r>
      <w:r w:rsidR="001734E1">
        <w:rPr>
          <w:rFonts w:ascii="Arial" w:eastAsia="Times New Roman" w:hAnsi="Arial" w:cs="Arial"/>
          <w:sz w:val="24"/>
          <w:szCs w:val="24"/>
          <w:lang w:eastAsia="es-ES"/>
        </w:rPr>
        <w:t xml:space="preserve">lio </w:t>
      </w:r>
      <w:r w:rsidRPr="007E1C97">
        <w:rPr>
          <w:rFonts w:ascii="Arial" w:eastAsia="Times New Roman" w:hAnsi="Arial" w:cs="Arial"/>
          <w:sz w:val="24"/>
          <w:szCs w:val="24"/>
          <w:lang w:eastAsia="es-ES"/>
        </w:rPr>
        <w:t>de 20</w:t>
      </w:r>
      <w:r w:rsidR="00035EC4" w:rsidRPr="007E1C97">
        <w:rPr>
          <w:rFonts w:ascii="Arial" w:eastAsia="Times New Roman" w:hAnsi="Arial" w:cs="Arial"/>
          <w:sz w:val="24"/>
          <w:szCs w:val="24"/>
          <w:lang w:eastAsia="es-ES"/>
        </w:rPr>
        <w:t>2</w:t>
      </w:r>
      <w:r w:rsidR="00C0421B" w:rsidRPr="007E1C97">
        <w:rPr>
          <w:rFonts w:ascii="Arial" w:eastAsia="Times New Roman" w:hAnsi="Arial" w:cs="Arial"/>
          <w:sz w:val="24"/>
          <w:szCs w:val="24"/>
          <w:lang w:eastAsia="es-ES"/>
        </w:rPr>
        <w:t>1</w:t>
      </w:r>
      <w:r w:rsidRPr="007E1C97">
        <w:rPr>
          <w:rFonts w:ascii="Arial" w:eastAsia="Times New Roman" w:hAnsi="Arial" w:cs="Arial"/>
          <w:sz w:val="24"/>
          <w:szCs w:val="24"/>
          <w:lang w:eastAsia="es-ES"/>
        </w:rPr>
        <w:t>.</w:t>
      </w:r>
    </w:p>
    <w:p w14:paraId="45E27D9E" w14:textId="77777777" w:rsidR="004A6AE9" w:rsidRDefault="004A6AE9" w:rsidP="004A6AE9">
      <w:pPr>
        <w:spacing w:after="0" w:line="240" w:lineRule="auto"/>
        <w:rPr>
          <w:rFonts w:ascii="Arial" w:eastAsia="Times New Roman" w:hAnsi="Arial" w:cs="Arial"/>
          <w:sz w:val="24"/>
          <w:szCs w:val="24"/>
          <w:lang w:eastAsia="es-ES"/>
        </w:rPr>
      </w:pPr>
    </w:p>
    <w:p w14:paraId="44E97795" w14:textId="41636F9C" w:rsidR="007E1C97" w:rsidRPr="007E1C97" w:rsidRDefault="007E1C97" w:rsidP="006D2EE8">
      <w:pPr>
        <w:pStyle w:val="Prrafodelista"/>
        <w:keepNext/>
        <w:keepLines/>
        <w:numPr>
          <w:ilvl w:val="0"/>
          <w:numId w:val="4"/>
        </w:numPr>
        <w:spacing w:after="120" w:line="240" w:lineRule="auto"/>
        <w:ind w:left="425" w:hanging="425"/>
        <w:rPr>
          <w:rFonts w:ascii="Arial" w:hAnsi="Arial" w:cs="Arial"/>
          <w:b/>
          <w:bCs/>
          <w:sz w:val="24"/>
          <w:szCs w:val="24"/>
          <w:lang w:eastAsia="es-ES"/>
        </w:rPr>
      </w:pPr>
      <w:r>
        <w:rPr>
          <w:rFonts w:ascii="Arial" w:hAnsi="Arial" w:cs="Arial"/>
          <w:b/>
          <w:sz w:val="24"/>
          <w:szCs w:val="24"/>
          <w:lang w:eastAsia="es-ES"/>
        </w:rPr>
        <w:t>COM</w:t>
      </w:r>
      <w:r w:rsidRPr="007E1C97">
        <w:rPr>
          <w:rFonts w:ascii="Arial" w:hAnsi="Arial" w:cs="Arial"/>
          <w:b/>
          <w:bCs/>
          <w:iCs/>
          <w:sz w:val="24"/>
          <w:szCs w:val="24"/>
          <w:lang w:eastAsia="es-ES"/>
        </w:rPr>
        <w:t>PROMISO DE COMUNICACIONES A CLIENTES</w:t>
      </w:r>
    </w:p>
    <w:p w14:paraId="64986C78" w14:textId="77777777" w:rsidR="007E1C97" w:rsidRPr="007E1C97" w:rsidRDefault="007E1C97" w:rsidP="00337F46">
      <w:pPr>
        <w:spacing w:after="120" w:line="240" w:lineRule="auto"/>
        <w:jc w:val="both"/>
        <w:rPr>
          <w:rFonts w:ascii="Arial" w:eastAsia="Times New Roman" w:hAnsi="Arial" w:cs="Arial"/>
          <w:sz w:val="24"/>
          <w:szCs w:val="24"/>
          <w:lang w:eastAsia="es-ES"/>
        </w:rPr>
      </w:pPr>
      <w:bookmarkStart w:id="0" w:name="_Toc514666163"/>
      <w:r w:rsidRPr="007E1C97">
        <w:rPr>
          <w:rFonts w:ascii="Arial" w:eastAsia="Times New Roman" w:hAnsi="Arial" w:cs="Arial"/>
          <w:bCs/>
          <w:iCs/>
          <w:sz w:val="24"/>
          <w:szCs w:val="24"/>
          <w:lang w:eastAsia="es-ES"/>
        </w:rPr>
        <w:t>De conformidad con lo dispuesto en el apartado 4 de la propuesta de compromisos (en adelante, compromiso de comunicaciones a clientes, compromiso segundo o “el compromiso”):</w:t>
      </w:r>
    </w:p>
    <w:p w14:paraId="46863300" w14:textId="77777777" w:rsidR="007E1C97" w:rsidRPr="007E1C97" w:rsidRDefault="007E1C97" w:rsidP="007E1C97">
      <w:pPr>
        <w:spacing w:after="120" w:line="240" w:lineRule="auto"/>
        <w:ind w:left="567"/>
        <w:jc w:val="both"/>
        <w:rPr>
          <w:rFonts w:ascii="Arial" w:eastAsia="Times New Roman" w:hAnsi="Arial" w:cs="Arial"/>
          <w:i/>
          <w:sz w:val="24"/>
          <w:szCs w:val="24"/>
          <w:lang w:eastAsia="es-ES"/>
        </w:rPr>
      </w:pPr>
      <w:r w:rsidRPr="007E1C97">
        <w:rPr>
          <w:rFonts w:ascii="Arial" w:eastAsia="Times New Roman" w:hAnsi="Arial" w:cs="Arial"/>
          <w:sz w:val="24"/>
          <w:szCs w:val="24"/>
          <w:lang w:eastAsia="es-ES"/>
        </w:rPr>
        <w:lastRenderedPageBreak/>
        <w:t>“</w:t>
      </w:r>
      <w:r w:rsidRPr="007E1C97">
        <w:rPr>
          <w:rFonts w:ascii="Arial" w:eastAsia="Times New Roman" w:hAnsi="Arial" w:cs="Arial"/>
          <w:i/>
          <w:sz w:val="24"/>
          <w:szCs w:val="24"/>
          <w:lang w:eastAsia="es-ES"/>
        </w:rPr>
        <w:t>CaixaBank informará de forma transparente a los clientes provenientes de Bankia del cierre de la Operación, así como de los cambios de condiciones que, con motivo de la Operación, les sean aplicables en los productos y servicios que sean modificados con posterioridad a dicho cierre.</w:t>
      </w:r>
    </w:p>
    <w:p w14:paraId="255F670F" w14:textId="77777777" w:rsidR="007E1C97" w:rsidRPr="007E1C97" w:rsidRDefault="007E1C97" w:rsidP="007E1C97">
      <w:pPr>
        <w:spacing w:after="120" w:line="240" w:lineRule="auto"/>
        <w:ind w:left="567"/>
        <w:jc w:val="both"/>
        <w:rPr>
          <w:rFonts w:ascii="Arial" w:eastAsia="Times New Roman" w:hAnsi="Arial" w:cs="Arial"/>
          <w:i/>
          <w:sz w:val="24"/>
          <w:szCs w:val="24"/>
          <w:lang w:eastAsia="es-ES"/>
        </w:rPr>
      </w:pPr>
      <w:r w:rsidRPr="007E1C97">
        <w:rPr>
          <w:rFonts w:ascii="Arial" w:eastAsia="Times New Roman" w:hAnsi="Arial" w:cs="Arial"/>
          <w:i/>
          <w:sz w:val="24"/>
          <w:szCs w:val="24"/>
          <w:lang w:eastAsia="es-ES"/>
        </w:rPr>
        <w:t>En particular, CaixaBank, con carácter previo a la implementación de los cambios, comunicará a los clientes provenientes de Bankia:</w:t>
      </w:r>
    </w:p>
    <w:p w14:paraId="58017F0B" w14:textId="77777777" w:rsidR="007E1C97" w:rsidRPr="007E1C97" w:rsidRDefault="007E1C97" w:rsidP="007E1C97">
      <w:pPr>
        <w:numPr>
          <w:ilvl w:val="0"/>
          <w:numId w:val="25"/>
        </w:numPr>
        <w:spacing w:after="120" w:line="240" w:lineRule="auto"/>
        <w:ind w:left="851" w:hanging="142"/>
        <w:jc w:val="both"/>
        <w:rPr>
          <w:rFonts w:ascii="Arial" w:hAnsi="Arial" w:cs="Arial"/>
          <w:i/>
          <w:sz w:val="24"/>
        </w:rPr>
      </w:pPr>
      <w:r w:rsidRPr="007E1C97">
        <w:rPr>
          <w:rFonts w:ascii="Arial" w:hAnsi="Arial" w:cs="Arial"/>
          <w:i/>
          <w:sz w:val="24"/>
        </w:rPr>
        <w:t>Las nuevas comisiones aplicables como resultado de una modificación de un producto o servicio con motivo de la Operación, junto con la información pertinente relativa a las comisiones aplicadas con anterioridad a dicho cambio.</w:t>
      </w:r>
    </w:p>
    <w:p w14:paraId="4C73A59B" w14:textId="77777777" w:rsidR="007E1C97" w:rsidRPr="007E1C97" w:rsidRDefault="007E1C97" w:rsidP="007E1C97">
      <w:pPr>
        <w:numPr>
          <w:ilvl w:val="0"/>
          <w:numId w:val="25"/>
        </w:numPr>
        <w:spacing w:after="120" w:line="240" w:lineRule="auto"/>
        <w:ind w:left="851" w:hanging="142"/>
        <w:jc w:val="both"/>
        <w:rPr>
          <w:rFonts w:ascii="Arial" w:hAnsi="Arial" w:cs="Arial"/>
          <w:i/>
          <w:sz w:val="24"/>
        </w:rPr>
      </w:pPr>
      <w:r w:rsidRPr="007E1C97">
        <w:rPr>
          <w:rFonts w:ascii="Arial" w:hAnsi="Arial" w:cs="Arial"/>
          <w:i/>
          <w:sz w:val="24"/>
        </w:rPr>
        <w:t>Los productos ofrecidos a los clientes de CaixaBank para los que dichos clientes provenientes de Bankia cumplan con los criterios de elegibilidad establecidos y sean equiparables, o mejores, a los productos que tengan contratados en Bankia.</w:t>
      </w:r>
    </w:p>
    <w:p w14:paraId="0BA518A2" w14:textId="77777777" w:rsidR="007E1C97" w:rsidRPr="007E1C97" w:rsidRDefault="007E1C97" w:rsidP="007E1C97">
      <w:pPr>
        <w:numPr>
          <w:ilvl w:val="0"/>
          <w:numId w:val="25"/>
        </w:numPr>
        <w:spacing w:after="120" w:line="240" w:lineRule="auto"/>
        <w:ind w:left="851" w:hanging="142"/>
        <w:jc w:val="both"/>
        <w:rPr>
          <w:rFonts w:ascii="Arial" w:hAnsi="Arial" w:cs="Arial"/>
          <w:i/>
          <w:sz w:val="24"/>
        </w:rPr>
      </w:pPr>
      <w:r w:rsidRPr="007E1C97">
        <w:rPr>
          <w:rFonts w:ascii="Arial" w:hAnsi="Arial" w:cs="Arial"/>
          <w:i/>
          <w:sz w:val="24"/>
        </w:rPr>
        <w:t>Que las modificaciones entrarán en vigor en un plazo mínimo de 60 días en el caso de los clientes personas físicas (consumidores y autónomos) y de 30 días en el caso del resto de clientes.</w:t>
      </w:r>
    </w:p>
    <w:p w14:paraId="57AEB2DA" w14:textId="77777777" w:rsidR="007E1C97" w:rsidRPr="007E1C97" w:rsidRDefault="007E1C97" w:rsidP="007E1C97">
      <w:pPr>
        <w:numPr>
          <w:ilvl w:val="0"/>
          <w:numId w:val="25"/>
        </w:numPr>
        <w:spacing w:after="120" w:line="240" w:lineRule="auto"/>
        <w:ind w:left="851" w:hanging="142"/>
        <w:jc w:val="both"/>
        <w:rPr>
          <w:rFonts w:ascii="Arial" w:hAnsi="Arial" w:cs="Arial"/>
          <w:i/>
          <w:sz w:val="24"/>
        </w:rPr>
      </w:pPr>
      <w:r w:rsidRPr="007E1C97">
        <w:rPr>
          <w:rFonts w:ascii="Arial" w:hAnsi="Arial" w:cs="Arial"/>
          <w:i/>
          <w:sz w:val="24"/>
        </w:rPr>
        <w:t>Los derechos del cliente ante un cambio de condiciones.</w:t>
      </w:r>
    </w:p>
    <w:p w14:paraId="33193601" w14:textId="78986DC5" w:rsidR="00500216" w:rsidRPr="00E74671" w:rsidRDefault="007E1C97" w:rsidP="00F5502B">
      <w:pPr>
        <w:numPr>
          <w:ilvl w:val="0"/>
          <w:numId w:val="25"/>
        </w:numPr>
        <w:spacing w:after="120" w:line="240" w:lineRule="auto"/>
        <w:ind w:left="851" w:hanging="142"/>
        <w:jc w:val="both"/>
        <w:rPr>
          <w:rFonts w:ascii="Arial" w:eastAsia="Times New Roman" w:hAnsi="Arial" w:cs="Arial"/>
          <w:sz w:val="24"/>
          <w:szCs w:val="24"/>
          <w:lang w:eastAsia="es-ES"/>
        </w:rPr>
      </w:pPr>
      <w:r w:rsidRPr="00E74671">
        <w:rPr>
          <w:rFonts w:ascii="Arial" w:hAnsi="Arial" w:cs="Arial"/>
          <w:i/>
          <w:sz w:val="24"/>
        </w:rPr>
        <w:t>La libertad del cliente para cambiar de entidad bancaria</w:t>
      </w:r>
      <w:r w:rsidRPr="00E74671">
        <w:rPr>
          <w:rFonts w:ascii="Arial" w:hAnsi="Arial" w:cs="Arial"/>
          <w:sz w:val="24"/>
        </w:rPr>
        <w:t>”.</w:t>
      </w:r>
    </w:p>
    <w:p w14:paraId="0A3A88AA" w14:textId="77777777" w:rsidR="007E1C97" w:rsidRPr="007E1C97" w:rsidRDefault="007E1C97" w:rsidP="00337F46">
      <w:pPr>
        <w:spacing w:after="120" w:line="240" w:lineRule="auto"/>
        <w:jc w:val="both"/>
        <w:rPr>
          <w:rFonts w:ascii="Arial" w:eastAsia="Times New Roman" w:hAnsi="Arial" w:cs="Arial"/>
          <w:sz w:val="24"/>
          <w:szCs w:val="24"/>
          <w:lang w:eastAsia="es-ES"/>
        </w:rPr>
      </w:pPr>
      <w:r w:rsidRPr="007E1C97">
        <w:rPr>
          <w:rFonts w:ascii="Arial" w:eastAsia="Times New Roman" w:hAnsi="Arial" w:cs="Arial"/>
          <w:bCs/>
          <w:iCs/>
          <w:sz w:val="24"/>
          <w:szCs w:val="24"/>
          <w:lang w:eastAsia="es-ES"/>
        </w:rPr>
        <w:t>Según lo establecido en el compromiso mencionado, dicha información será comunicada por CAIXABANK en una comunicación dirigida a todos los clientes provenientes de BANKIA, sin perjuicio de que pueda enviar comunicaciones separadas a aquellos grupos de clientes afectados por un cambio de condiciones de sus productos específicos.</w:t>
      </w:r>
    </w:p>
    <w:p w14:paraId="029994DD" w14:textId="77777777" w:rsidR="007E1C97" w:rsidRPr="007E1C97" w:rsidRDefault="007E1C97" w:rsidP="00500216">
      <w:pPr>
        <w:spacing w:after="120" w:line="240" w:lineRule="auto"/>
        <w:jc w:val="both"/>
        <w:rPr>
          <w:rFonts w:ascii="Arial" w:eastAsia="Times New Roman" w:hAnsi="Arial" w:cs="Arial"/>
          <w:sz w:val="24"/>
          <w:szCs w:val="24"/>
          <w:lang w:eastAsia="es-ES"/>
        </w:rPr>
      </w:pPr>
      <w:r w:rsidRPr="007E1C97">
        <w:rPr>
          <w:rFonts w:ascii="Arial" w:eastAsia="Times New Roman" w:hAnsi="Arial" w:cs="Arial"/>
          <w:bCs/>
          <w:iCs/>
          <w:sz w:val="24"/>
          <w:szCs w:val="24"/>
          <w:lang w:eastAsia="es-ES"/>
        </w:rPr>
        <w:t>Asimismo, se establece que CAIXABANK debe compartir un borrador de las referidas comunicaciones para su aprobación, respecto de las cuales, la CNMC comunicará su decisión a la entidad financiera en un plazo de 10 días hábiles desde su recepción.</w:t>
      </w:r>
    </w:p>
    <w:p w14:paraId="58F0911D" w14:textId="77777777" w:rsidR="007E1C97" w:rsidRPr="007E1C97" w:rsidRDefault="007E1C97" w:rsidP="00500216">
      <w:pPr>
        <w:spacing w:after="120" w:line="240" w:lineRule="auto"/>
        <w:jc w:val="both"/>
        <w:rPr>
          <w:rFonts w:ascii="Arial" w:eastAsia="Times New Roman" w:hAnsi="Arial" w:cs="Arial"/>
          <w:sz w:val="24"/>
          <w:szCs w:val="24"/>
          <w:lang w:eastAsia="es-ES"/>
        </w:rPr>
      </w:pPr>
      <w:r w:rsidRPr="007E1C97">
        <w:rPr>
          <w:rFonts w:ascii="Arial" w:eastAsia="Times New Roman" w:hAnsi="Arial" w:cs="Arial"/>
          <w:bCs/>
          <w:iCs/>
          <w:sz w:val="24"/>
          <w:szCs w:val="24"/>
          <w:lang w:eastAsia="es-ES"/>
        </w:rPr>
        <w:t>Este compromiso es aplicable a todas las comunicaciones realizadas a los clientes de la entidad resultante, con independencia del medio en que se realicen</w:t>
      </w:r>
      <w:r w:rsidRPr="007E1C97">
        <w:rPr>
          <w:rFonts w:ascii="Arial" w:eastAsia="Times New Roman" w:hAnsi="Arial" w:cs="Arial"/>
          <w:bCs/>
          <w:iCs/>
          <w:sz w:val="24"/>
          <w:szCs w:val="24"/>
          <w:vertAlign w:val="superscript"/>
          <w:lang w:eastAsia="es-ES"/>
        </w:rPr>
        <w:footnoteReference w:id="1"/>
      </w:r>
      <w:r w:rsidRPr="007E1C97">
        <w:rPr>
          <w:rFonts w:ascii="Arial" w:eastAsia="Times New Roman" w:hAnsi="Arial" w:cs="Arial"/>
          <w:bCs/>
          <w:iCs/>
          <w:sz w:val="24"/>
          <w:szCs w:val="24"/>
          <w:lang w:eastAsia="es-ES"/>
        </w:rPr>
        <w:t>.</w:t>
      </w:r>
    </w:p>
    <w:p w14:paraId="1FBA8BC3" w14:textId="430FC213" w:rsidR="007E1C97" w:rsidRPr="00D00301" w:rsidRDefault="007E1C97" w:rsidP="006D2EE8">
      <w:pPr>
        <w:pStyle w:val="Prrafodelista"/>
        <w:numPr>
          <w:ilvl w:val="0"/>
          <w:numId w:val="4"/>
        </w:numPr>
        <w:spacing w:before="240" w:after="120" w:line="240" w:lineRule="auto"/>
        <w:ind w:left="426" w:hanging="426"/>
        <w:jc w:val="both"/>
        <w:rPr>
          <w:rFonts w:ascii="Arial" w:eastAsia="Times New Roman" w:hAnsi="Arial" w:cs="Arial"/>
          <w:sz w:val="24"/>
          <w:szCs w:val="24"/>
          <w:lang w:eastAsia="es-ES"/>
        </w:rPr>
      </w:pPr>
      <w:r w:rsidRPr="00D00301">
        <w:rPr>
          <w:rFonts w:ascii="Arial" w:eastAsia="Times New Roman" w:hAnsi="Arial" w:cs="Arial"/>
          <w:b/>
          <w:bCs/>
          <w:iCs/>
          <w:sz w:val="24"/>
          <w:szCs w:val="24"/>
          <w:lang w:eastAsia="es-ES"/>
        </w:rPr>
        <w:lastRenderedPageBreak/>
        <w:t>DESCRIPCIÓN DE LAS COMUNICACIONES PRESENTADAS POR CAIXABANK</w:t>
      </w:r>
    </w:p>
    <w:p w14:paraId="625056B6" w14:textId="064D0613" w:rsidR="00C66F0F" w:rsidRPr="007E1C97" w:rsidRDefault="00500216" w:rsidP="00C66F0F">
      <w:pPr>
        <w:spacing w:after="120" w:line="240" w:lineRule="auto"/>
        <w:jc w:val="both"/>
        <w:rPr>
          <w:rFonts w:ascii="Arial" w:eastAsia="Times New Roman" w:hAnsi="Arial" w:cs="Arial"/>
          <w:sz w:val="24"/>
          <w:szCs w:val="24"/>
          <w:lang w:eastAsia="es-ES"/>
        </w:rPr>
      </w:pPr>
      <w:r w:rsidRPr="00EF6340">
        <w:rPr>
          <w:rFonts w:ascii="Arial" w:eastAsia="Times New Roman" w:hAnsi="Arial" w:cs="Arial"/>
          <w:sz w:val="24"/>
          <w:szCs w:val="24"/>
          <w:lang w:eastAsia="es-ES"/>
        </w:rPr>
        <w:t xml:space="preserve">Según se recoge en </w:t>
      </w:r>
      <w:r w:rsidR="007E1C97" w:rsidRPr="00EF6340">
        <w:rPr>
          <w:rFonts w:ascii="Arial" w:eastAsia="Times New Roman" w:hAnsi="Arial" w:cs="Arial"/>
          <w:sz w:val="24"/>
          <w:szCs w:val="24"/>
          <w:lang w:eastAsia="es-ES"/>
        </w:rPr>
        <w:t xml:space="preserve">la información facilitada por CAIXABANK en su escrito de 1 de </w:t>
      </w:r>
      <w:r w:rsidR="00EF6340" w:rsidRPr="00EF6340">
        <w:rPr>
          <w:rFonts w:ascii="Arial" w:eastAsia="Times New Roman" w:hAnsi="Arial" w:cs="Arial"/>
          <w:sz w:val="24"/>
          <w:szCs w:val="24"/>
          <w:lang w:eastAsia="es-ES"/>
        </w:rPr>
        <w:t xml:space="preserve">julio </w:t>
      </w:r>
      <w:r w:rsidR="007E1C97" w:rsidRPr="00EF6340">
        <w:rPr>
          <w:rFonts w:ascii="Arial" w:eastAsia="Times New Roman" w:hAnsi="Arial" w:cs="Arial"/>
          <w:sz w:val="24"/>
          <w:szCs w:val="24"/>
          <w:lang w:eastAsia="es-ES"/>
        </w:rPr>
        <w:t xml:space="preserve">de 2021, los documentos presentados para su aprobación formal por la CNMC se refieren a </w:t>
      </w:r>
      <w:r w:rsidR="00EF6340" w:rsidRPr="00EF6340">
        <w:rPr>
          <w:rFonts w:ascii="Arial" w:hAnsi="Arial" w:cs="Arial"/>
          <w:sz w:val="24"/>
        </w:rPr>
        <w:t xml:space="preserve">comunicaciones relativas a los siguientes tipos de productos o servicios prestados por las entidades bancarias: </w:t>
      </w:r>
      <w:r w:rsidR="00EF6340" w:rsidRPr="00EF6340">
        <w:rPr>
          <w:rFonts w:ascii="Arial" w:hAnsi="Arial" w:cs="Arial"/>
          <w:i/>
          <w:sz w:val="24"/>
        </w:rPr>
        <w:t>(i)</w:t>
      </w:r>
      <w:r w:rsidR="00EF6340" w:rsidRPr="00EF6340">
        <w:rPr>
          <w:rFonts w:ascii="Arial" w:hAnsi="Arial" w:cs="Arial"/>
          <w:sz w:val="24"/>
        </w:rPr>
        <w:t xml:space="preserve"> </w:t>
      </w:r>
      <w:r w:rsidR="00EF6340" w:rsidRPr="00EF6340">
        <w:rPr>
          <w:rFonts w:ascii="Arial" w:hAnsi="Arial" w:cs="Arial"/>
          <w:bCs/>
          <w:sz w:val="24"/>
        </w:rPr>
        <w:t xml:space="preserve">banca privada, valores, fondos y cartera y </w:t>
      </w:r>
      <w:r w:rsidR="00EF6340" w:rsidRPr="00EF6340">
        <w:rPr>
          <w:rFonts w:ascii="Arial" w:hAnsi="Arial" w:cs="Arial"/>
          <w:bCs/>
          <w:i/>
          <w:sz w:val="24"/>
        </w:rPr>
        <w:t>(</w:t>
      </w:r>
      <w:proofErr w:type="spellStart"/>
      <w:r w:rsidR="00EF6340" w:rsidRPr="00EF6340">
        <w:rPr>
          <w:rFonts w:ascii="Arial" w:hAnsi="Arial" w:cs="Arial"/>
          <w:bCs/>
          <w:i/>
          <w:sz w:val="24"/>
        </w:rPr>
        <w:t>ii</w:t>
      </w:r>
      <w:proofErr w:type="spellEnd"/>
      <w:r w:rsidR="00EF6340" w:rsidRPr="00EF6340">
        <w:rPr>
          <w:rFonts w:ascii="Arial" w:hAnsi="Arial" w:cs="Arial"/>
          <w:bCs/>
          <w:i/>
          <w:sz w:val="24"/>
        </w:rPr>
        <w:t>)</w:t>
      </w:r>
      <w:r w:rsidR="00EF6340" w:rsidRPr="00EF6340">
        <w:rPr>
          <w:rFonts w:ascii="Arial" w:hAnsi="Arial" w:cs="Arial"/>
          <w:bCs/>
          <w:sz w:val="24"/>
        </w:rPr>
        <w:t xml:space="preserve"> servicios relativos a los </w:t>
      </w:r>
      <w:proofErr w:type="spellStart"/>
      <w:r w:rsidR="00EF6340" w:rsidRPr="00EF6340">
        <w:rPr>
          <w:rFonts w:ascii="Arial" w:hAnsi="Arial" w:cs="Arial"/>
          <w:bCs/>
          <w:sz w:val="24"/>
        </w:rPr>
        <w:t>TPVs</w:t>
      </w:r>
      <w:proofErr w:type="spellEnd"/>
      <w:r w:rsidR="00EF6340" w:rsidRPr="00EF6340">
        <w:rPr>
          <w:rFonts w:ascii="Arial" w:hAnsi="Arial" w:cs="Arial"/>
          <w:bCs/>
          <w:sz w:val="24"/>
        </w:rPr>
        <w:t>.</w:t>
      </w:r>
    </w:p>
    <w:p w14:paraId="4B18C234" w14:textId="5A2C9544" w:rsidR="0030181B" w:rsidRPr="0030181B" w:rsidRDefault="0030181B" w:rsidP="0030181B">
      <w:pPr>
        <w:pStyle w:val="Prrafodelista"/>
        <w:numPr>
          <w:ilvl w:val="0"/>
          <w:numId w:val="32"/>
        </w:numPr>
        <w:spacing w:after="120" w:line="240" w:lineRule="auto"/>
        <w:ind w:left="851" w:hanging="284"/>
        <w:contextualSpacing w:val="0"/>
        <w:jc w:val="both"/>
        <w:rPr>
          <w:rFonts w:ascii="Arial" w:hAnsi="Arial" w:cs="Arial"/>
          <w:b/>
          <w:i/>
          <w:sz w:val="24"/>
        </w:rPr>
      </w:pPr>
      <w:bookmarkStart w:id="1" w:name="_Hlk75784375"/>
      <w:r w:rsidRPr="0030181B">
        <w:rPr>
          <w:rFonts w:ascii="Arial" w:hAnsi="Arial" w:cs="Arial"/>
          <w:b/>
          <w:bCs/>
          <w:i/>
          <w:sz w:val="24"/>
        </w:rPr>
        <w:t>Banca privada, valores, fondos y cartera: Asignación de cuenta asociada</w:t>
      </w:r>
    </w:p>
    <w:bookmarkEnd w:id="1"/>
    <w:p w14:paraId="33DB2D81" w14:textId="42E3EB26" w:rsidR="009F07BF" w:rsidRDefault="009F07BF" w:rsidP="009F07BF">
      <w:pPr>
        <w:spacing w:after="120" w:line="240" w:lineRule="auto"/>
        <w:contextualSpacing/>
        <w:jc w:val="both"/>
        <w:rPr>
          <w:rFonts w:ascii="Arial" w:eastAsia="Times New Roman" w:hAnsi="Arial" w:cs="Arial"/>
          <w:sz w:val="24"/>
          <w:szCs w:val="24"/>
          <w:lang w:eastAsia="es-ES"/>
        </w:rPr>
      </w:pPr>
      <w:r w:rsidRPr="009F07BF">
        <w:rPr>
          <w:rFonts w:ascii="Arial" w:eastAsia="Times New Roman" w:hAnsi="Arial" w:cs="Arial"/>
          <w:sz w:val="24"/>
          <w:szCs w:val="24"/>
          <w:lang w:eastAsia="es-ES"/>
        </w:rPr>
        <w:t xml:space="preserve">En el marco de los servicios de Banca Privada, valores, fondos y cartera, CAIXABANK ha presentado tres modelos de comunicados relativos a la asignación de cuenta </w:t>
      </w:r>
      <w:r w:rsidR="00337F46" w:rsidRPr="009F07BF">
        <w:rPr>
          <w:rFonts w:ascii="Arial" w:eastAsia="Times New Roman" w:hAnsi="Arial" w:cs="Arial"/>
          <w:sz w:val="24"/>
          <w:szCs w:val="24"/>
          <w:lang w:eastAsia="es-ES"/>
        </w:rPr>
        <w:t>asociada,</w:t>
      </w:r>
      <w:r w:rsidRPr="009F07BF">
        <w:rPr>
          <w:rFonts w:ascii="Arial" w:eastAsia="Times New Roman" w:hAnsi="Arial" w:cs="Arial"/>
          <w:sz w:val="24"/>
          <w:szCs w:val="24"/>
          <w:lang w:eastAsia="es-ES"/>
        </w:rPr>
        <w:t xml:space="preserve"> dirigidos a informar a aquellos clientes que tienen contratado uno o más fondos de inversión, depósitos a plazo o cuentas de valores, sin tener una cuenta corriente asociada con idéntica titularidad, de que se procederá a la asignación automática por parte de CAIXABANK, previo aviso a los mismos de 60 días de antelación.</w:t>
      </w:r>
    </w:p>
    <w:p w14:paraId="5F441F0B" w14:textId="77777777" w:rsidR="009F07BF" w:rsidRPr="009F07BF" w:rsidRDefault="009F07BF" w:rsidP="009F07BF">
      <w:pPr>
        <w:spacing w:after="120" w:line="240" w:lineRule="auto"/>
        <w:contextualSpacing/>
        <w:jc w:val="both"/>
        <w:rPr>
          <w:rFonts w:ascii="Arial" w:eastAsia="Times New Roman" w:hAnsi="Arial" w:cs="Arial"/>
          <w:sz w:val="24"/>
          <w:szCs w:val="24"/>
          <w:lang w:eastAsia="es-ES"/>
        </w:rPr>
      </w:pPr>
    </w:p>
    <w:p w14:paraId="7A6D8E98" w14:textId="0736363C" w:rsidR="009F07BF" w:rsidRDefault="009F07BF" w:rsidP="009F07BF">
      <w:pPr>
        <w:spacing w:after="120" w:line="240" w:lineRule="auto"/>
        <w:contextualSpacing/>
        <w:jc w:val="both"/>
        <w:rPr>
          <w:rFonts w:ascii="Arial" w:eastAsia="Times New Roman" w:hAnsi="Arial" w:cs="Arial"/>
          <w:sz w:val="24"/>
          <w:szCs w:val="24"/>
          <w:lang w:eastAsia="es-ES"/>
        </w:rPr>
      </w:pPr>
      <w:r w:rsidRPr="009F07BF">
        <w:rPr>
          <w:rFonts w:ascii="Arial" w:eastAsia="Times New Roman" w:hAnsi="Arial" w:cs="Arial"/>
          <w:sz w:val="24"/>
          <w:szCs w:val="24"/>
          <w:lang w:eastAsia="es-ES"/>
        </w:rPr>
        <w:t xml:space="preserve">Estas comunicaciones afectan principalmente a servicios de Banca minorista, orientados hacia el mercado de los particulares, comercios y pymes, de conformidad con lo establecido en el Informe Propuesta aprobado por la </w:t>
      </w:r>
      <w:r>
        <w:rPr>
          <w:rFonts w:ascii="Arial" w:eastAsia="Times New Roman" w:hAnsi="Arial" w:cs="Arial"/>
          <w:sz w:val="24"/>
          <w:szCs w:val="24"/>
          <w:lang w:eastAsia="es-ES"/>
        </w:rPr>
        <w:t>r</w:t>
      </w:r>
      <w:r w:rsidRPr="009F07BF">
        <w:rPr>
          <w:rFonts w:ascii="Arial" w:eastAsia="Times New Roman" w:hAnsi="Arial" w:cs="Arial"/>
          <w:sz w:val="24"/>
          <w:szCs w:val="24"/>
          <w:lang w:eastAsia="es-ES"/>
        </w:rPr>
        <w:t>esolución objeto de la presente vigilancia.</w:t>
      </w:r>
    </w:p>
    <w:p w14:paraId="09D3D705" w14:textId="77777777" w:rsidR="009F07BF" w:rsidRPr="009F07BF" w:rsidRDefault="009F07BF" w:rsidP="009F07BF">
      <w:pPr>
        <w:spacing w:after="120" w:line="240" w:lineRule="auto"/>
        <w:contextualSpacing/>
        <w:jc w:val="both"/>
        <w:rPr>
          <w:rFonts w:ascii="Arial" w:eastAsia="Times New Roman" w:hAnsi="Arial" w:cs="Arial"/>
          <w:sz w:val="24"/>
          <w:szCs w:val="24"/>
          <w:lang w:eastAsia="es-ES"/>
        </w:rPr>
      </w:pPr>
    </w:p>
    <w:p w14:paraId="58044A2A" w14:textId="4EE29A07" w:rsidR="009F07BF" w:rsidRDefault="009F07BF" w:rsidP="009F07BF">
      <w:pPr>
        <w:spacing w:after="120" w:line="240" w:lineRule="auto"/>
        <w:contextualSpacing/>
        <w:jc w:val="both"/>
        <w:rPr>
          <w:rFonts w:ascii="Arial" w:eastAsia="Times New Roman" w:hAnsi="Arial" w:cs="Arial"/>
          <w:sz w:val="24"/>
          <w:szCs w:val="24"/>
          <w:lang w:eastAsia="es-ES"/>
        </w:rPr>
      </w:pPr>
      <w:r w:rsidRPr="009F07BF">
        <w:rPr>
          <w:rFonts w:ascii="Arial" w:eastAsia="Times New Roman" w:hAnsi="Arial" w:cs="Arial"/>
          <w:sz w:val="24"/>
          <w:szCs w:val="24"/>
          <w:lang w:eastAsia="es-ES"/>
        </w:rPr>
        <w:t xml:space="preserve">Según la información facilitada por </w:t>
      </w:r>
      <w:r w:rsidR="00337F46" w:rsidRPr="009F07BF">
        <w:rPr>
          <w:rFonts w:ascii="Arial" w:eastAsia="Times New Roman" w:hAnsi="Arial" w:cs="Arial"/>
          <w:sz w:val="24"/>
          <w:szCs w:val="24"/>
          <w:lang w:eastAsia="es-ES"/>
        </w:rPr>
        <w:t>CAIXABANK,</w:t>
      </w:r>
      <w:r w:rsidRPr="009F07BF">
        <w:rPr>
          <w:rFonts w:ascii="Arial" w:eastAsia="Times New Roman" w:hAnsi="Arial" w:cs="Arial"/>
          <w:sz w:val="24"/>
          <w:szCs w:val="24"/>
          <w:lang w:eastAsia="es-ES"/>
        </w:rPr>
        <w:t xml:space="preserve"> la modificación de la cuenta asociada a los citados productos obedece a una inconsistencia entre la banca electrónica de BANKIA y la de CAIXABANK.</w:t>
      </w:r>
    </w:p>
    <w:p w14:paraId="21543D22" w14:textId="77777777" w:rsidR="009F07BF" w:rsidRPr="009F07BF" w:rsidRDefault="009F07BF" w:rsidP="009F07BF">
      <w:pPr>
        <w:spacing w:after="120" w:line="240" w:lineRule="auto"/>
        <w:contextualSpacing/>
        <w:jc w:val="both"/>
        <w:rPr>
          <w:rFonts w:ascii="Arial" w:eastAsia="Times New Roman" w:hAnsi="Arial" w:cs="Arial"/>
          <w:sz w:val="24"/>
          <w:szCs w:val="24"/>
          <w:lang w:eastAsia="es-ES"/>
        </w:rPr>
      </w:pPr>
    </w:p>
    <w:p w14:paraId="379E0B4B" w14:textId="771C0889" w:rsidR="009F07BF" w:rsidRDefault="009F07BF" w:rsidP="009F07BF">
      <w:pPr>
        <w:spacing w:after="120" w:line="240" w:lineRule="auto"/>
        <w:contextualSpacing/>
        <w:jc w:val="both"/>
        <w:rPr>
          <w:rFonts w:ascii="Arial" w:eastAsia="Times New Roman" w:hAnsi="Arial" w:cs="Arial"/>
          <w:sz w:val="24"/>
          <w:szCs w:val="24"/>
          <w:lang w:eastAsia="es-ES"/>
        </w:rPr>
      </w:pPr>
      <w:r w:rsidRPr="009F07BF">
        <w:rPr>
          <w:rFonts w:ascii="Arial" w:eastAsia="Times New Roman" w:hAnsi="Arial" w:cs="Arial"/>
          <w:sz w:val="24"/>
          <w:szCs w:val="24"/>
          <w:lang w:eastAsia="es-ES"/>
        </w:rPr>
        <w:t>En concreto, el sistema de Banca online de BANKIA permitía a los clientes visualizar los productos que tenían contratados según la titularidad del producto en concreto. Por ejemplo, si hay dos titulares de un fondo de inversión, cada uno podría visualizarlos en su banca online.</w:t>
      </w:r>
    </w:p>
    <w:p w14:paraId="0980559A" w14:textId="77777777" w:rsidR="00E74671" w:rsidRPr="009F07BF" w:rsidRDefault="00E74671" w:rsidP="009F07BF">
      <w:pPr>
        <w:spacing w:after="120" w:line="240" w:lineRule="auto"/>
        <w:contextualSpacing/>
        <w:jc w:val="both"/>
        <w:rPr>
          <w:rFonts w:ascii="Arial" w:eastAsia="Times New Roman" w:hAnsi="Arial" w:cs="Arial"/>
          <w:sz w:val="24"/>
          <w:szCs w:val="24"/>
          <w:lang w:eastAsia="es-ES"/>
        </w:rPr>
      </w:pPr>
    </w:p>
    <w:p w14:paraId="45241483" w14:textId="758B4F1E" w:rsidR="009F07BF" w:rsidRDefault="009F07BF" w:rsidP="009F07BF">
      <w:pPr>
        <w:spacing w:after="120" w:line="240" w:lineRule="auto"/>
        <w:contextualSpacing/>
        <w:jc w:val="both"/>
        <w:rPr>
          <w:rFonts w:ascii="Arial" w:eastAsia="Times New Roman" w:hAnsi="Arial" w:cs="Arial"/>
          <w:sz w:val="24"/>
          <w:szCs w:val="24"/>
          <w:lang w:eastAsia="es-ES"/>
        </w:rPr>
      </w:pPr>
      <w:r w:rsidRPr="009F07BF">
        <w:rPr>
          <w:rFonts w:ascii="Arial" w:eastAsia="Times New Roman" w:hAnsi="Arial" w:cs="Arial"/>
          <w:sz w:val="24"/>
          <w:szCs w:val="24"/>
          <w:lang w:eastAsia="es-ES"/>
        </w:rPr>
        <w:t xml:space="preserve">En cambio, el sistema de Banca online de CAIXABANK sólo permiten visualizar aquellos productos en los que el cliente es titular tanto del producto concreto como de la cuenta vinculada al mismo. Es decir, si hay dos titulares de un fondo de </w:t>
      </w:r>
      <w:r w:rsidRPr="009F07BF">
        <w:rPr>
          <w:rFonts w:ascii="Arial" w:eastAsia="Times New Roman" w:hAnsi="Arial" w:cs="Arial"/>
          <w:sz w:val="24"/>
          <w:szCs w:val="24"/>
          <w:lang w:eastAsia="es-ES"/>
        </w:rPr>
        <w:lastRenderedPageBreak/>
        <w:t>inversión, cada uno podría visualizarlos en tanto ambos sean titulares, a su vez, de la cuenta asociada al fondo.</w:t>
      </w:r>
      <w:r w:rsidR="002E4219">
        <w:rPr>
          <w:rFonts w:ascii="Arial" w:eastAsia="Times New Roman" w:hAnsi="Arial" w:cs="Arial"/>
          <w:sz w:val="24"/>
          <w:szCs w:val="24"/>
          <w:lang w:eastAsia="es-ES"/>
        </w:rPr>
        <w:t xml:space="preserve"> </w:t>
      </w:r>
    </w:p>
    <w:p w14:paraId="59F79698" w14:textId="77777777" w:rsidR="009F07BF" w:rsidRPr="009F07BF" w:rsidRDefault="009F07BF" w:rsidP="009F07BF">
      <w:pPr>
        <w:spacing w:after="120" w:line="240" w:lineRule="auto"/>
        <w:contextualSpacing/>
        <w:jc w:val="both"/>
        <w:rPr>
          <w:rFonts w:ascii="Arial" w:eastAsia="Times New Roman" w:hAnsi="Arial" w:cs="Arial"/>
          <w:sz w:val="24"/>
          <w:szCs w:val="24"/>
          <w:lang w:eastAsia="es-ES"/>
        </w:rPr>
      </w:pPr>
    </w:p>
    <w:p w14:paraId="1433BE62" w14:textId="0A5925BB" w:rsidR="009F07BF" w:rsidRDefault="009F07BF" w:rsidP="009F07BF">
      <w:pPr>
        <w:spacing w:after="120" w:line="240" w:lineRule="auto"/>
        <w:contextualSpacing/>
        <w:jc w:val="both"/>
        <w:rPr>
          <w:rFonts w:ascii="Arial" w:eastAsia="Times New Roman" w:hAnsi="Arial" w:cs="Arial"/>
          <w:sz w:val="24"/>
          <w:szCs w:val="24"/>
          <w:lang w:eastAsia="es-ES"/>
        </w:rPr>
      </w:pPr>
      <w:r w:rsidRPr="009F07BF">
        <w:rPr>
          <w:rFonts w:ascii="Arial" w:eastAsia="Times New Roman" w:hAnsi="Arial" w:cs="Arial"/>
          <w:sz w:val="24"/>
          <w:szCs w:val="24"/>
          <w:lang w:eastAsia="es-ES"/>
        </w:rPr>
        <w:t>Por ello, una vez se produzca la integración tecnológica, si no se realiza ninguna acción al respecto, todos los clientes que no tuvieran una cuenta asociada al producto del que son titulares, dejarán de poder visualizar el mismo.</w:t>
      </w:r>
    </w:p>
    <w:p w14:paraId="1909289D" w14:textId="77777777" w:rsidR="009F07BF" w:rsidRPr="009F07BF" w:rsidRDefault="009F07BF" w:rsidP="009F07BF">
      <w:pPr>
        <w:spacing w:after="120" w:line="240" w:lineRule="auto"/>
        <w:contextualSpacing/>
        <w:jc w:val="both"/>
        <w:rPr>
          <w:rFonts w:ascii="Arial" w:eastAsia="Times New Roman" w:hAnsi="Arial" w:cs="Arial"/>
          <w:sz w:val="24"/>
          <w:szCs w:val="24"/>
          <w:lang w:eastAsia="es-ES"/>
        </w:rPr>
      </w:pPr>
    </w:p>
    <w:p w14:paraId="201B7272" w14:textId="1DDEBE52" w:rsidR="009F07BF" w:rsidRDefault="009F07BF" w:rsidP="009F07BF">
      <w:pPr>
        <w:spacing w:after="120" w:line="240" w:lineRule="auto"/>
        <w:contextualSpacing/>
        <w:jc w:val="both"/>
        <w:rPr>
          <w:rFonts w:ascii="Arial" w:eastAsia="Times New Roman" w:hAnsi="Arial" w:cs="Arial"/>
          <w:sz w:val="24"/>
          <w:szCs w:val="24"/>
          <w:lang w:eastAsia="es-ES"/>
        </w:rPr>
      </w:pPr>
      <w:r w:rsidRPr="009F07BF">
        <w:rPr>
          <w:rFonts w:ascii="Arial" w:eastAsia="Times New Roman" w:hAnsi="Arial" w:cs="Arial"/>
          <w:sz w:val="24"/>
          <w:szCs w:val="24"/>
          <w:lang w:eastAsia="es-ES"/>
        </w:rPr>
        <w:t>Para evitarlo, CAIXABANK pretende asignar a estos clientes otra cuenta vinculada que coincida con los titulares del producto principal (el depósito a plazo, los valores o los fondos de inversión).</w:t>
      </w:r>
    </w:p>
    <w:p w14:paraId="05381BB3" w14:textId="77777777" w:rsidR="009F07BF" w:rsidRPr="009F07BF" w:rsidRDefault="009F07BF" w:rsidP="009F07BF">
      <w:pPr>
        <w:spacing w:after="120" w:line="240" w:lineRule="auto"/>
        <w:contextualSpacing/>
        <w:jc w:val="both"/>
        <w:rPr>
          <w:rFonts w:ascii="Arial" w:eastAsia="Times New Roman" w:hAnsi="Arial" w:cs="Arial"/>
          <w:sz w:val="24"/>
          <w:szCs w:val="24"/>
          <w:lang w:eastAsia="es-ES"/>
        </w:rPr>
      </w:pPr>
    </w:p>
    <w:p w14:paraId="580245C5" w14:textId="548B4637" w:rsidR="009F07BF" w:rsidRDefault="009F07BF" w:rsidP="009F07BF">
      <w:pPr>
        <w:spacing w:after="120" w:line="240" w:lineRule="auto"/>
        <w:contextualSpacing/>
        <w:jc w:val="both"/>
        <w:rPr>
          <w:rFonts w:ascii="Arial" w:eastAsia="Times New Roman" w:hAnsi="Arial" w:cs="Arial"/>
          <w:sz w:val="24"/>
          <w:szCs w:val="24"/>
          <w:lang w:eastAsia="es-ES"/>
        </w:rPr>
      </w:pPr>
      <w:r w:rsidRPr="009F07BF">
        <w:rPr>
          <w:rFonts w:ascii="Arial" w:eastAsia="Times New Roman" w:hAnsi="Arial" w:cs="Arial"/>
          <w:sz w:val="24"/>
          <w:szCs w:val="24"/>
          <w:lang w:eastAsia="es-ES"/>
        </w:rPr>
        <w:t>Esta acción no implica la apertura de ninguna nueva cuenta, sino que se escogerá una que ya tenga abierta, sin que implique ningún otro coste para el cliente, como se indica en las comunicaciones analizadas.</w:t>
      </w:r>
    </w:p>
    <w:p w14:paraId="7E11A1EA" w14:textId="77777777" w:rsidR="009F07BF" w:rsidRPr="009F07BF" w:rsidRDefault="009F07BF" w:rsidP="009F07BF">
      <w:pPr>
        <w:spacing w:after="120" w:line="240" w:lineRule="auto"/>
        <w:contextualSpacing/>
        <w:jc w:val="both"/>
        <w:rPr>
          <w:rFonts w:ascii="Arial" w:eastAsia="Times New Roman" w:hAnsi="Arial" w:cs="Arial"/>
          <w:sz w:val="24"/>
          <w:szCs w:val="24"/>
          <w:lang w:eastAsia="es-ES"/>
        </w:rPr>
      </w:pPr>
    </w:p>
    <w:p w14:paraId="75F787E9" w14:textId="4C01F258" w:rsidR="00AD4B8A" w:rsidRDefault="009F07BF" w:rsidP="009F07BF">
      <w:pPr>
        <w:spacing w:after="120" w:line="240" w:lineRule="auto"/>
        <w:contextualSpacing/>
        <w:jc w:val="both"/>
        <w:rPr>
          <w:rFonts w:ascii="Arial" w:eastAsia="Times New Roman" w:hAnsi="Arial" w:cs="Arial"/>
          <w:sz w:val="24"/>
          <w:szCs w:val="24"/>
          <w:lang w:eastAsia="es-ES"/>
        </w:rPr>
      </w:pPr>
      <w:r w:rsidRPr="009F07BF">
        <w:rPr>
          <w:rFonts w:ascii="Arial" w:eastAsia="Times New Roman" w:hAnsi="Arial" w:cs="Arial"/>
          <w:sz w:val="24"/>
          <w:szCs w:val="24"/>
          <w:lang w:eastAsia="es-ES"/>
        </w:rPr>
        <w:t>De conformidad con las estimaciones facilitadas por CAIXABANK, tales comunicaciones tendrán por destinatarios a unos 40.000 clientes, entre los que se encuentran consumidores y no consumidores</w:t>
      </w:r>
      <w:r>
        <w:rPr>
          <w:rFonts w:ascii="Arial" w:eastAsia="Times New Roman" w:hAnsi="Arial" w:cs="Arial"/>
          <w:sz w:val="24"/>
          <w:szCs w:val="24"/>
          <w:lang w:eastAsia="es-ES"/>
        </w:rPr>
        <w:t>.</w:t>
      </w:r>
    </w:p>
    <w:p w14:paraId="386F40FD" w14:textId="0012B4A6" w:rsidR="009F07BF" w:rsidRPr="006D2EE8" w:rsidRDefault="009F07BF" w:rsidP="006D2EE8">
      <w:pPr>
        <w:pStyle w:val="Prrafodelista"/>
        <w:numPr>
          <w:ilvl w:val="0"/>
          <w:numId w:val="32"/>
        </w:numPr>
        <w:spacing w:before="240" w:after="120" w:line="240" w:lineRule="auto"/>
        <w:ind w:left="851" w:hanging="284"/>
        <w:jc w:val="both"/>
        <w:rPr>
          <w:rFonts w:ascii="Arial" w:eastAsia="Times New Roman" w:hAnsi="Arial" w:cs="Arial"/>
          <w:i/>
          <w:sz w:val="24"/>
          <w:szCs w:val="24"/>
          <w:lang w:eastAsia="es-ES"/>
        </w:rPr>
      </w:pPr>
      <w:r w:rsidRPr="006D2EE8">
        <w:rPr>
          <w:rFonts w:ascii="Arial" w:hAnsi="Arial" w:cs="Arial"/>
          <w:b/>
          <w:i/>
          <w:sz w:val="24"/>
        </w:rPr>
        <w:t>“Comercia” (servicios de TPV)</w:t>
      </w:r>
      <w:r w:rsidR="00523233" w:rsidRPr="006D2EE8">
        <w:rPr>
          <w:rFonts w:ascii="Arial" w:hAnsi="Arial" w:cs="Arial"/>
          <w:b/>
          <w:i/>
          <w:sz w:val="24"/>
        </w:rPr>
        <w:t xml:space="preserve"> </w:t>
      </w:r>
    </w:p>
    <w:p w14:paraId="2C767E75" w14:textId="3E001571" w:rsidR="009F07BF" w:rsidRPr="009F07BF" w:rsidRDefault="009F07BF" w:rsidP="009F07BF">
      <w:pPr>
        <w:spacing w:after="120" w:line="240" w:lineRule="auto"/>
        <w:jc w:val="both"/>
        <w:rPr>
          <w:rFonts w:ascii="Arial" w:hAnsi="Arial" w:cs="Arial"/>
          <w:sz w:val="24"/>
        </w:rPr>
      </w:pPr>
      <w:r w:rsidRPr="009F07BF">
        <w:rPr>
          <w:rFonts w:ascii="Arial" w:hAnsi="Arial" w:cs="Arial"/>
          <w:sz w:val="24"/>
        </w:rPr>
        <w:t xml:space="preserve">El segundo grupo de comunicaciones presentado por CAIXABANK para su valoración se refiere a la modificación de las condiciones en los contratos de </w:t>
      </w:r>
      <w:r w:rsidRPr="009F07BF">
        <w:rPr>
          <w:rFonts w:ascii="Arial" w:hAnsi="Arial" w:cs="Arial"/>
          <w:iCs/>
          <w:sz w:val="24"/>
        </w:rPr>
        <w:t>Terminales de Punto de Venta (</w:t>
      </w:r>
      <w:proofErr w:type="spellStart"/>
      <w:r w:rsidRPr="009F07BF">
        <w:rPr>
          <w:rFonts w:ascii="Arial" w:hAnsi="Arial" w:cs="Arial"/>
          <w:iCs/>
          <w:sz w:val="24"/>
        </w:rPr>
        <w:t>TPVs</w:t>
      </w:r>
      <w:proofErr w:type="spellEnd"/>
      <w:r w:rsidRPr="009F07BF">
        <w:rPr>
          <w:rFonts w:ascii="Arial" w:hAnsi="Arial" w:cs="Arial"/>
          <w:iCs/>
          <w:sz w:val="24"/>
        </w:rPr>
        <w:t>) de los clientes provenientes de BANKIA</w:t>
      </w:r>
      <w:r w:rsidR="00AD4B8A">
        <w:rPr>
          <w:rFonts w:ascii="Arial" w:hAnsi="Arial" w:cs="Arial"/>
          <w:iCs/>
          <w:sz w:val="24"/>
        </w:rPr>
        <w:t xml:space="preserve"> (folio 466)</w:t>
      </w:r>
      <w:r w:rsidRPr="009F07BF">
        <w:rPr>
          <w:rFonts w:ascii="Arial" w:hAnsi="Arial" w:cs="Arial"/>
          <w:iCs/>
          <w:sz w:val="24"/>
        </w:rPr>
        <w:t>.</w:t>
      </w:r>
    </w:p>
    <w:p w14:paraId="58DE1C0E" w14:textId="77777777" w:rsidR="009F07BF" w:rsidRPr="009F07BF" w:rsidRDefault="009F07BF" w:rsidP="009F07BF">
      <w:pPr>
        <w:spacing w:after="120" w:line="240" w:lineRule="auto"/>
        <w:jc w:val="both"/>
        <w:rPr>
          <w:rFonts w:ascii="Arial" w:hAnsi="Arial" w:cs="Arial"/>
          <w:sz w:val="24"/>
        </w:rPr>
      </w:pPr>
      <w:r w:rsidRPr="009F07BF">
        <w:rPr>
          <w:rFonts w:ascii="Arial" w:hAnsi="Arial" w:cs="Arial"/>
          <w:sz w:val="24"/>
        </w:rPr>
        <w:t>Dichos servicios de TPV integran el mercado de medios de pago y, dentro de éste, el mercado de adquisición de transacciones realizadas con tarjeta para la aceptación de los pagos por parte de los clientes en los correspondientes puntos de venta</w:t>
      </w:r>
      <w:r w:rsidRPr="009F07BF">
        <w:rPr>
          <w:rFonts w:ascii="Arial" w:hAnsi="Arial" w:cs="Arial"/>
          <w:sz w:val="24"/>
          <w:vertAlign w:val="superscript"/>
        </w:rPr>
        <w:footnoteReference w:id="2"/>
      </w:r>
      <w:r w:rsidRPr="009F07BF">
        <w:rPr>
          <w:rFonts w:ascii="Arial" w:hAnsi="Arial" w:cs="Arial"/>
          <w:sz w:val="24"/>
        </w:rPr>
        <w:t>.</w:t>
      </w:r>
    </w:p>
    <w:p w14:paraId="5BE71ED9" w14:textId="77777777" w:rsidR="009F07BF" w:rsidRPr="009F07BF" w:rsidRDefault="009F07BF" w:rsidP="009F07BF">
      <w:pPr>
        <w:spacing w:after="120" w:line="240" w:lineRule="auto"/>
        <w:jc w:val="both"/>
        <w:rPr>
          <w:rFonts w:ascii="Arial" w:hAnsi="Arial" w:cs="Arial"/>
          <w:sz w:val="24"/>
        </w:rPr>
      </w:pPr>
      <w:r w:rsidRPr="009F07BF">
        <w:rPr>
          <w:rFonts w:ascii="Arial" w:hAnsi="Arial" w:cs="Arial"/>
          <w:sz w:val="24"/>
        </w:rPr>
        <w:t xml:space="preserve">En particular, las modificaciones sobre las condiciones de los contratos de servicios de </w:t>
      </w:r>
      <w:proofErr w:type="spellStart"/>
      <w:r w:rsidRPr="009F07BF">
        <w:rPr>
          <w:rFonts w:ascii="Arial" w:hAnsi="Arial" w:cs="Arial"/>
          <w:sz w:val="24"/>
        </w:rPr>
        <w:t>TPVs</w:t>
      </w:r>
      <w:proofErr w:type="spellEnd"/>
      <w:r w:rsidRPr="009F07BF">
        <w:rPr>
          <w:rFonts w:ascii="Arial" w:hAnsi="Arial" w:cs="Arial"/>
          <w:sz w:val="24"/>
        </w:rPr>
        <w:t xml:space="preserve"> vienen derivados de la cesión por CAIXABANK a la sociedad </w:t>
      </w:r>
      <w:bookmarkStart w:id="2" w:name="_Hlk75438866"/>
      <w:r w:rsidRPr="009F07BF">
        <w:rPr>
          <w:rFonts w:ascii="Arial" w:hAnsi="Arial" w:cs="Arial"/>
          <w:iCs/>
          <w:sz w:val="24"/>
        </w:rPr>
        <w:t xml:space="preserve">COMERCIA GLOBAL </w:t>
      </w:r>
      <w:bookmarkEnd w:id="2"/>
      <w:r w:rsidRPr="009F07BF">
        <w:rPr>
          <w:rFonts w:ascii="Arial" w:hAnsi="Arial" w:cs="Arial"/>
          <w:iCs/>
          <w:sz w:val="24"/>
        </w:rPr>
        <w:t>PAYMENTS, ENTIDAD DE PAGO, S.L. (COMERCIA) del negocio de Terminales de Punto de Venta (</w:t>
      </w:r>
      <w:proofErr w:type="spellStart"/>
      <w:r w:rsidRPr="009F07BF">
        <w:rPr>
          <w:rFonts w:ascii="Arial" w:hAnsi="Arial" w:cs="Arial"/>
          <w:iCs/>
          <w:sz w:val="24"/>
        </w:rPr>
        <w:t>TPVs</w:t>
      </w:r>
      <w:proofErr w:type="spellEnd"/>
      <w:r w:rsidRPr="009F07BF">
        <w:rPr>
          <w:rFonts w:ascii="Arial" w:hAnsi="Arial" w:cs="Arial"/>
          <w:iCs/>
          <w:sz w:val="24"/>
        </w:rPr>
        <w:t>) que venía siendo gestionado por BANKIA.</w:t>
      </w:r>
    </w:p>
    <w:p w14:paraId="4C975BE6" w14:textId="423E36E9" w:rsidR="009F07BF" w:rsidRPr="009F07BF" w:rsidRDefault="009F07BF" w:rsidP="009F07BF">
      <w:pPr>
        <w:spacing w:after="120" w:line="240" w:lineRule="auto"/>
        <w:jc w:val="both"/>
        <w:rPr>
          <w:rFonts w:ascii="Arial" w:hAnsi="Arial" w:cs="Arial"/>
          <w:sz w:val="24"/>
        </w:rPr>
      </w:pPr>
      <w:r w:rsidRPr="009F07BF">
        <w:rPr>
          <w:rFonts w:ascii="Arial" w:hAnsi="Arial" w:cs="Arial"/>
          <w:sz w:val="24"/>
        </w:rPr>
        <w:lastRenderedPageBreak/>
        <w:t>En consecuencia, estas comunicaciones tienen por destinatarios a comercios (autónomos y empresas) que disponen de un contrato de TPV, con objeto de notificarles</w:t>
      </w:r>
      <w:r w:rsidR="00AD4B8A">
        <w:rPr>
          <w:rFonts w:ascii="Arial" w:hAnsi="Arial" w:cs="Arial"/>
          <w:sz w:val="24"/>
        </w:rPr>
        <w:t xml:space="preserve"> </w:t>
      </w:r>
      <w:r w:rsidR="00AD4B8A" w:rsidRPr="00AD4B8A">
        <w:rPr>
          <w:rFonts w:ascii="Arial" w:hAnsi="Arial" w:cs="Arial"/>
          <w:iCs/>
          <w:sz w:val="24"/>
        </w:rPr>
        <w:t>(folio 466)</w:t>
      </w:r>
      <w:r w:rsidRPr="009F07BF">
        <w:rPr>
          <w:rFonts w:ascii="Arial" w:hAnsi="Arial" w:cs="Arial"/>
          <w:sz w:val="24"/>
        </w:rPr>
        <w:t>:</w:t>
      </w:r>
    </w:p>
    <w:p w14:paraId="65AD6410" w14:textId="77777777" w:rsidR="009F07BF" w:rsidRPr="009F07BF" w:rsidRDefault="009F07BF" w:rsidP="009F07BF">
      <w:pPr>
        <w:numPr>
          <w:ilvl w:val="0"/>
          <w:numId w:val="34"/>
        </w:numPr>
        <w:spacing w:after="120" w:line="240" w:lineRule="auto"/>
        <w:ind w:left="1134" w:hanging="283"/>
        <w:jc w:val="both"/>
        <w:rPr>
          <w:rFonts w:ascii="Arial" w:hAnsi="Arial" w:cs="Arial"/>
          <w:sz w:val="24"/>
        </w:rPr>
      </w:pPr>
      <w:r w:rsidRPr="009F07BF">
        <w:rPr>
          <w:rFonts w:ascii="Arial" w:hAnsi="Arial" w:cs="Arial"/>
          <w:sz w:val="24"/>
        </w:rPr>
        <w:t>La intención de CAIXABANK de ceder el citado negocio a COMERCIA, transmisión</w:t>
      </w:r>
      <w:r w:rsidRPr="009F07BF">
        <w:rPr>
          <w:rFonts w:ascii="Arial" w:eastAsia="Arial" w:hAnsi="Arial"/>
          <w:iCs/>
        </w:rPr>
        <w:t xml:space="preserve"> </w:t>
      </w:r>
      <w:r w:rsidRPr="009F07BF">
        <w:rPr>
          <w:rFonts w:ascii="Arial" w:hAnsi="Arial" w:cs="Arial"/>
          <w:iCs/>
          <w:sz w:val="24"/>
        </w:rPr>
        <w:t>sujeta a la obtención de las autorizaciones administrativas pertinentes, entre ellas la de la CNMC, tal como se recoge expresamente en los escritos presentados por la referida entidad financiera, a efectos de recabar la autorización del Consejo de la CNMC.</w:t>
      </w:r>
    </w:p>
    <w:p w14:paraId="47E4AE07" w14:textId="77777777" w:rsidR="009F07BF" w:rsidRPr="009F07BF" w:rsidRDefault="009F07BF" w:rsidP="009F07BF">
      <w:pPr>
        <w:numPr>
          <w:ilvl w:val="0"/>
          <w:numId w:val="34"/>
        </w:numPr>
        <w:spacing w:after="120" w:line="240" w:lineRule="auto"/>
        <w:ind w:left="1134" w:hanging="283"/>
        <w:jc w:val="both"/>
        <w:rPr>
          <w:rFonts w:ascii="Arial" w:hAnsi="Arial" w:cs="Arial"/>
          <w:sz w:val="24"/>
        </w:rPr>
      </w:pPr>
      <w:r w:rsidRPr="009F07BF">
        <w:rPr>
          <w:rFonts w:ascii="Arial" w:hAnsi="Arial" w:cs="Arial"/>
          <w:sz w:val="24"/>
        </w:rPr>
        <w:t>Asimismo, la modificación de condiciones contractuales (que conllevan nuevas condiciones económicas para el cliente) que se aplicarán a los servicios de TPV, producidas como consecuencia de dicha cesión.</w:t>
      </w:r>
    </w:p>
    <w:p w14:paraId="2AF511D2" w14:textId="77777777" w:rsidR="009F07BF" w:rsidRPr="009F07BF" w:rsidRDefault="009F07BF" w:rsidP="009F07BF">
      <w:pPr>
        <w:spacing w:after="120" w:line="240" w:lineRule="auto"/>
        <w:jc w:val="both"/>
        <w:rPr>
          <w:rFonts w:ascii="Arial" w:hAnsi="Arial" w:cs="Arial"/>
          <w:sz w:val="24"/>
        </w:rPr>
      </w:pPr>
      <w:r w:rsidRPr="009F07BF">
        <w:rPr>
          <w:rFonts w:ascii="Arial" w:hAnsi="Arial" w:cs="Arial"/>
          <w:sz w:val="24"/>
        </w:rPr>
        <w:t xml:space="preserve">Con respecto a los modelos de comunicaciones presentados, CAIXABANK ha establecido cuatro diferentes, en función de dos factores: </w:t>
      </w:r>
      <w:r w:rsidRPr="009F07BF">
        <w:rPr>
          <w:rFonts w:ascii="Arial" w:hAnsi="Arial" w:cs="Arial"/>
          <w:i/>
          <w:sz w:val="24"/>
        </w:rPr>
        <w:t>(i)</w:t>
      </w:r>
      <w:r w:rsidRPr="009F07BF">
        <w:rPr>
          <w:rFonts w:ascii="Arial" w:hAnsi="Arial" w:cs="Arial"/>
          <w:sz w:val="24"/>
        </w:rPr>
        <w:t xml:space="preserve"> si se trata o no de clientes compartidos (esto es, si originariamente los servicios de </w:t>
      </w:r>
      <w:proofErr w:type="spellStart"/>
      <w:r w:rsidRPr="009F07BF">
        <w:rPr>
          <w:rFonts w:ascii="Arial" w:hAnsi="Arial" w:cs="Arial"/>
          <w:sz w:val="24"/>
        </w:rPr>
        <w:t>TPVs</w:t>
      </w:r>
      <w:proofErr w:type="spellEnd"/>
      <w:r w:rsidRPr="009F07BF">
        <w:rPr>
          <w:rFonts w:ascii="Arial" w:hAnsi="Arial" w:cs="Arial"/>
          <w:sz w:val="24"/>
        </w:rPr>
        <w:t xml:space="preserve"> eran prestados por CAIXABANK y BANKIA al mismo tiempo) y </w:t>
      </w:r>
      <w:r w:rsidRPr="009F07BF">
        <w:rPr>
          <w:rFonts w:ascii="Arial" w:hAnsi="Arial" w:cs="Arial"/>
          <w:i/>
          <w:sz w:val="24"/>
        </w:rPr>
        <w:t>(</w:t>
      </w:r>
      <w:proofErr w:type="spellStart"/>
      <w:r w:rsidRPr="009F07BF">
        <w:rPr>
          <w:rFonts w:ascii="Arial" w:hAnsi="Arial" w:cs="Arial"/>
          <w:i/>
          <w:sz w:val="24"/>
        </w:rPr>
        <w:t>ii</w:t>
      </w:r>
      <w:proofErr w:type="spellEnd"/>
      <w:r w:rsidRPr="009F07BF">
        <w:rPr>
          <w:rFonts w:ascii="Arial" w:hAnsi="Arial" w:cs="Arial"/>
          <w:i/>
          <w:sz w:val="24"/>
        </w:rPr>
        <w:t>)</w:t>
      </w:r>
      <w:r w:rsidRPr="009F07BF">
        <w:rPr>
          <w:rFonts w:ascii="Arial" w:hAnsi="Arial" w:cs="Arial"/>
          <w:sz w:val="24"/>
        </w:rPr>
        <w:t xml:space="preserve"> si se trata o no de servicios procedentes de uno de los 21 Códigos Postales (</w:t>
      </w:r>
      <w:proofErr w:type="spellStart"/>
      <w:r w:rsidRPr="009F07BF">
        <w:rPr>
          <w:rFonts w:ascii="Arial" w:hAnsi="Arial" w:cs="Arial"/>
          <w:sz w:val="24"/>
        </w:rPr>
        <w:t>CPs</w:t>
      </w:r>
      <w:proofErr w:type="spellEnd"/>
      <w:r w:rsidRPr="009F07BF">
        <w:rPr>
          <w:rFonts w:ascii="Arial" w:hAnsi="Arial" w:cs="Arial"/>
          <w:sz w:val="24"/>
        </w:rPr>
        <w:t>) del anexo 6A del texto de los compromisos objeto de la presente vigilancia.</w:t>
      </w:r>
    </w:p>
    <w:p w14:paraId="16B95F83" w14:textId="77777777" w:rsidR="009F07BF" w:rsidRPr="009F07BF" w:rsidRDefault="009F07BF" w:rsidP="009F07BF">
      <w:pPr>
        <w:spacing w:after="120" w:line="240" w:lineRule="auto"/>
        <w:jc w:val="both"/>
        <w:rPr>
          <w:rFonts w:ascii="Arial" w:hAnsi="Arial" w:cs="Arial"/>
          <w:sz w:val="24"/>
        </w:rPr>
      </w:pPr>
      <w:r w:rsidRPr="009F07BF">
        <w:rPr>
          <w:rFonts w:ascii="Arial" w:hAnsi="Arial" w:cs="Arial"/>
          <w:sz w:val="24"/>
        </w:rPr>
        <w:t>En particular, se trata de los siguientes modelos de comunicación:</w:t>
      </w:r>
    </w:p>
    <w:p w14:paraId="6091DD3C" w14:textId="369C81EE" w:rsidR="009F07BF" w:rsidRPr="009F07BF" w:rsidRDefault="009F07BF" w:rsidP="006D2EE8">
      <w:pPr>
        <w:numPr>
          <w:ilvl w:val="0"/>
          <w:numId w:val="39"/>
        </w:numPr>
        <w:spacing w:after="120" w:line="240" w:lineRule="auto"/>
        <w:jc w:val="both"/>
        <w:rPr>
          <w:rFonts w:ascii="Arial" w:hAnsi="Arial" w:cs="Arial"/>
          <w:sz w:val="24"/>
        </w:rPr>
      </w:pPr>
      <w:bookmarkStart w:id="3" w:name="_Hlk76388131"/>
      <w:r w:rsidRPr="009F07BF">
        <w:rPr>
          <w:rFonts w:ascii="Arial" w:hAnsi="Arial" w:cs="Arial"/>
          <w:sz w:val="24"/>
        </w:rPr>
        <w:t>“</w:t>
      </w:r>
      <w:r w:rsidRPr="009F07BF">
        <w:rPr>
          <w:rFonts w:ascii="Arial" w:hAnsi="Arial" w:cs="Arial"/>
          <w:i/>
          <w:sz w:val="24"/>
        </w:rPr>
        <w:t>Comunicado GLOBAL</w:t>
      </w:r>
      <w:bookmarkEnd w:id="3"/>
      <w:r w:rsidRPr="009F07BF">
        <w:rPr>
          <w:rFonts w:ascii="Arial" w:hAnsi="Arial" w:cs="Arial"/>
          <w:sz w:val="24"/>
          <w:szCs w:val="24"/>
        </w:rPr>
        <w:t>”</w:t>
      </w:r>
      <w:r w:rsidR="00CA24FC" w:rsidRPr="00CA24FC">
        <w:rPr>
          <w:rFonts w:ascii="Arial" w:hAnsi="Arial" w:cs="Arial"/>
          <w:sz w:val="24"/>
          <w:szCs w:val="24"/>
          <w:lang w:val="pt-BR"/>
        </w:rPr>
        <w:t xml:space="preserve"> (</w:t>
      </w:r>
      <w:proofErr w:type="spellStart"/>
      <w:r w:rsidR="00CA24FC">
        <w:rPr>
          <w:rFonts w:ascii="Arial" w:hAnsi="Arial" w:cs="Arial"/>
          <w:sz w:val="24"/>
          <w:szCs w:val="24"/>
          <w:lang w:val="pt-BR"/>
        </w:rPr>
        <w:t>folios</w:t>
      </w:r>
      <w:proofErr w:type="spellEnd"/>
      <w:r w:rsidR="00CA24FC">
        <w:rPr>
          <w:rFonts w:ascii="Arial" w:hAnsi="Arial" w:cs="Arial"/>
          <w:sz w:val="24"/>
          <w:szCs w:val="24"/>
          <w:lang w:val="pt-BR"/>
        </w:rPr>
        <w:t xml:space="preserve"> </w:t>
      </w:r>
      <w:r w:rsidR="00CA24FC" w:rsidRPr="00CA24FC">
        <w:rPr>
          <w:rFonts w:ascii="Arial" w:hAnsi="Arial" w:cs="Arial"/>
          <w:sz w:val="24"/>
          <w:szCs w:val="24"/>
          <w:lang w:val="pt-BR"/>
        </w:rPr>
        <w:t>479 a 504)</w:t>
      </w:r>
      <w:r w:rsidRPr="009F07BF">
        <w:rPr>
          <w:rFonts w:ascii="Arial" w:hAnsi="Arial" w:cs="Arial"/>
          <w:sz w:val="24"/>
          <w:szCs w:val="24"/>
        </w:rPr>
        <w:t>: comunicado dirigido a aquellos comercios que no se encuentran</w:t>
      </w:r>
      <w:r w:rsidRPr="009F07BF">
        <w:rPr>
          <w:rFonts w:ascii="Arial" w:hAnsi="Arial" w:cs="Arial"/>
          <w:sz w:val="24"/>
        </w:rPr>
        <w:t xml:space="preserve"> afectados por los compromisos del Anexo 6(A) </w:t>
      </w:r>
      <w:proofErr w:type="spellStart"/>
      <w:r w:rsidRPr="009F07BF">
        <w:rPr>
          <w:rFonts w:ascii="Arial" w:hAnsi="Arial" w:cs="Arial"/>
          <w:sz w:val="24"/>
        </w:rPr>
        <w:t>CPs</w:t>
      </w:r>
      <w:proofErr w:type="spellEnd"/>
      <w:r w:rsidRPr="009F07BF">
        <w:rPr>
          <w:rFonts w:ascii="Arial" w:hAnsi="Arial" w:cs="Arial"/>
          <w:sz w:val="24"/>
        </w:rPr>
        <w:t xml:space="preserve"> y que sólo tienen </w:t>
      </w:r>
      <w:proofErr w:type="spellStart"/>
      <w:r w:rsidRPr="009F07BF">
        <w:rPr>
          <w:rFonts w:ascii="Arial" w:hAnsi="Arial" w:cs="Arial"/>
          <w:sz w:val="24"/>
        </w:rPr>
        <w:t>TPVs</w:t>
      </w:r>
      <w:proofErr w:type="spellEnd"/>
      <w:r w:rsidRPr="009F07BF">
        <w:rPr>
          <w:rFonts w:ascii="Arial" w:hAnsi="Arial" w:cs="Arial"/>
          <w:sz w:val="24"/>
        </w:rPr>
        <w:t xml:space="preserve"> originariamente contratado/s con BANKIA.</w:t>
      </w:r>
    </w:p>
    <w:p w14:paraId="56E12CEC" w14:textId="34B3EA7C" w:rsidR="009F07BF" w:rsidRPr="009F07BF" w:rsidRDefault="009F07BF" w:rsidP="006D2EE8">
      <w:pPr>
        <w:numPr>
          <w:ilvl w:val="0"/>
          <w:numId w:val="39"/>
        </w:numPr>
        <w:spacing w:after="120" w:line="240" w:lineRule="auto"/>
        <w:jc w:val="both"/>
        <w:rPr>
          <w:rFonts w:ascii="Arial" w:hAnsi="Arial" w:cs="Arial"/>
          <w:sz w:val="24"/>
        </w:rPr>
      </w:pPr>
      <w:r w:rsidRPr="009F07BF">
        <w:rPr>
          <w:rFonts w:ascii="Arial" w:hAnsi="Arial" w:cs="Arial"/>
          <w:sz w:val="24"/>
        </w:rPr>
        <w:t>“</w:t>
      </w:r>
      <w:r w:rsidRPr="009F07BF">
        <w:rPr>
          <w:rFonts w:ascii="Arial" w:hAnsi="Arial" w:cs="Arial"/>
          <w:i/>
          <w:sz w:val="24"/>
        </w:rPr>
        <w:t>Comunicado Anexo A</w:t>
      </w:r>
      <w:r w:rsidRPr="009F07BF">
        <w:rPr>
          <w:rFonts w:ascii="Arial" w:hAnsi="Arial" w:cs="Arial"/>
          <w:sz w:val="24"/>
        </w:rPr>
        <w:t>”</w:t>
      </w:r>
      <w:r w:rsidR="00CA24FC" w:rsidRPr="00CA24FC">
        <w:rPr>
          <w:lang w:val="pt-BR"/>
        </w:rPr>
        <w:t xml:space="preserve"> </w:t>
      </w:r>
      <w:r w:rsidR="00CA24FC" w:rsidRPr="00CA24FC">
        <w:rPr>
          <w:rFonts w:ascii="Arial" w:hAnsi="Arial" w:cs="Arial"/>
          <w:sz w:val="24"/>
          <w:szCs w:val="24"/>
          <w:lang w:val="pt-BR"/>
        </w:rPr>
        <w:t>(</w:t>
      </w:r>
      <w:proofErr w:type="spellStart"/>
      <w:r w:rsidR="00CA24FC" w:rsidRPr="00CA24FC">
        <w:rPr>
          <w:rFonts w:ascii="Arial" w:hAnsi="Arial" w:cs="Arial"/>
          <w:sz w:val="24"/>
          <w:szCs w:val="24"/>
          <w:lang w:val="pt-BR"/>
        </w:rPr>
        <w:t>folios</w:t>
      </w:r>
      <w:proofErr w:type="spellEnd"/>
      <w:r w:rsidR="00CA24FC" w:rsidRPr="00CA24FC">
        <w:rPr>
          <w:rFonts w:ascii="Arial" w:hAnsi="Arial" w:cs="Arial"/>
          <w:sz w:val="24"/>
          <w:lang w:val="pt-BR"/>
        </w:rPr>
        <w:t xml:space="preserve"> 542 a 561</w:t>
      </w:r>
      <w:r w:rsidR="00CA24FC">
        <w:rPr>
          <w:rFonts w:ascii="Arial" w:hAnsi="Arial" w:cs="Arial"/>
          <w:sz w:val="24"/>
          <w:lang w:val="pt-BR"/>
        </w:rPr>
        <w:t>)</w:t>
      </w:r>
      <w:r w:rsidRPr="009F07BF">
        <w:rPr>
          <w:rFonts w:ascii="Arial" w:hAnsi="Arial" w:cs="Arial"/>
          <w:sz w:val="24"/>
        </w:rPr>
        <w:t xml:space="preserve">: comunicado dirigido a comercios que sólo tienen </w:t>
      </w:r>
      <w:proofErr w:type="spellStart"/>
      <w:r w:rsidRPr="009F07BF">
        <w:rPr>
          <w:rFonts w:ascii="Arial" w:hAnsi="Arial" w:cs="Arial"/>
          <w:sz w:val="24"/>
        </w:rPr>
        <w:t>TPVs</w:t>
      </w:r>
      <w:proofErr w:type="spellEnd"/>
      <w:r w:rsidRPr="009F07BF">
        <w:rPr>
          <w:rFonts w:ascii="Arial" w:hAnsi="Arial" w:cs="Arial"/>
          <w:sz w:val="24"/>
        </w:rPr>
        <w:t xml:space="preserve"> contratados con BANKIA y se encuentran en los </w:t>
      </w:r>
      <w:proofErr w:type="spellStart"/>
      <w:r w:rsidRPr="009F07BF">
        <w:rPr>
          <w:rFonts w:ascii="Arial" w:hAnsi="Arial" w:cs="Arial"/>
          <w:sz w:val="24"/>
        </w:rPr>
        <w:t>CPs</w:t>
      </w:r>
      <w:proofErr w:type="spellEnd"/>
      <w:r w:rsidRPr="009F07BF">
        <w:rPr>
          <w:rFonts w:ascii="Arial" w:hAnsi="Arial" w:cs="Arial"/>
          <w:sz w:val="24"/>
        </w:rPr>
        <w:t xml:space="preserve"> detallados en el Anexo 6(A) de los compromisos de referencia.</w:t>
      </w:r>
    </w:p>
    <w:p w14:paraId="178549AE" w14:textId="7D60A6F4" w:rsidR="009F07BF" w:rsidRPr="009F07BF" w:rsidRDefault="009F07BF" w:rsidP="006D2EE8">
      <w:pPr>
        <w:numPr>
          <w:ilvl w:val="0"/>
          <w:numId w:val="39"/>
        </w:numPr>
        <w:spacing w:after="120" w:line="240" w:lineRule="auto"/>
        <w:jc w:val="both"/>
        <w:rPr>
          <w:rFonts w:ascii="Arial" w:hAnsi="Arial" w:cs="Arial"/>
          <w:sz w:val="24"/>
        </w:rPr>
      </w:pPr>
      <w:r w:rsidRPr="009F07BF">
        <w:rPr>
          <w:rFonts w:ascii="Arial" w:hAnsi="Arial" w:cs="Arial"/>
          <w:sz w:val="24"/>
        </w:rPr>
        <w:t>“</w:t>
      </w:r>
      <w:r w:rsidRPr="009F07BF">
        <w:rPr>
          <w:rFonts w:ascii="Arial" w:hAnsi="Arial" w:cs="Arial"/>
          <w:i/>
          <w:sz w:val="24"/>
        </w:rPr>
        <w:t>Comunicado Clientes Compartidos GLOBAL</w:t>
      </w:r>
      <w:r w:rsidRPr="009F07BF">
        <w:rPr>
          <w:rFonts w:ascii="Arial" w:hAnsi="Arial" w:cs="Arial"/>
          <w:sz w:val="24"/>
        </w:rPr>
        <w:t>”</w:t>
      </w:r>
      <w:r w:rsidR="00CA24FC">
        <w:rPr>
          <w:rFonts w:ascii="Arial" w:hAnsi="Arial" w:cs="Arial"/>
          <w:sz w:val="24"/>
        </w:rPr>
        <w:t xml:space="preserve"> (f</w:t>
      </w:r>
      <w:proofErr w:type="spellStart"/>
      <w:r w:rsidR="00CA24FC" w:rsidRPr="00CA24FC">
        <w:rPr>
          <w:rFonts w:ascii="Arial" w:hAnsi="Arial" w:cs="Arial"/>
          <w:sz w:val="24"/>
          <w:lang w:val="pt-BR"/>
        </w:rPr>
        <w:t>olios</w:t>
      </w:r>
      <w:proofErr w:type="spellEnd"/>
      <w:r w:rsidR="00CA24FC" w:rsidRPr="00CA24FC">
        <w:rPr>
          <w:rFonts w:ascii="Arial" w:hAnsi="Arial" w:cs="Arial"/>
          <w:sz w:val="24"/>
          <w:lang w:val="pt-BR"/>
        </w:rPr>
        <w:t xml:space="preserve"> 522 a 541</w:t>
      </w:r>
      <w:r w:rsidR="00CA24FC">
        <w:rPr>
          <w:rFonts w:ascii="Arial" w:hAnsi="Arial" w:cs="Arial"/>
          <w:sz w:val="24"/>
          <w:lang w:val="pt-BR"/>
        </w:rPr>
        <w:t>)</w:t>
      </w:r>
      <w:r w:rsidRPr="009F07BF">
        <w:rPr>
          <w:rFonts w:ascii="Arial" w:hAnsi="Arial" w:cs="Arial"/>
          <w:sz w:val="24"/>
        </w:rPr>
        <w:t xml:space="preserve">: comunicado dirigido a aquellos comercios que tienen contrato de TPV en BANKIA y también en COMERCIA, no encontrándose en los </w:t>
      </w:r>
      <w:proofErr w:type="spellStart"/>
      <w:r w:rsidRPr="009F07BF">
        <w:rPr>
          <w:rFonts w:ascii="Arial" w:hAnsi="Arial" w:cs="Arial"/>
          <w:sz w:val="24"/>
        </w:rPr>
        <w:t>CPs</w:t>
      </w:r>
      <w:proofErr w:type="spellEnd"/>
      <w:r w:rsidRPr="009F07BF">
        <w:rPr>
          <w:rFonts w:ascii="Arial" w:hAnsi="Arial" w:cs="Arial"/>
          <w:sz w:val="24"/>
        </w:rPr>
        <w:t xml:space="preserve"> detallados en el Anexo 6(A) de los compromisos de referencia.</w:t>
      </w:r>
    </w:p>
    <w:p w14:paraId="6F6859EC" w14:textId="73EE542F" w:rsidR="009F07BF" w:rsidRPr="009F07BF" w:rsidRDefault="009F07BF" w:rsidP="006D2EE8">
      <w:pPr>
        <w:numPr>
          <w:ilvl w:val="0"/>
          <w:numId w:val="39"/>
        </w:numPr>
        <w:spacing w:after="120" w:line="240" w:lineRule="auto"/>
        <w:jc w:val="both"/>
        <w:rPr>
          <w:rFonts w:ascii="Arial" w:hAnsi="Arial" w:cs="Arial"/>
          <w:sz w:val="24"/>
        </w:rPr>
      </w:pPr>
      <w:r w:rsidRPr="009F07BF">
        <w:rPr>
          <w:rFonts w:ascii="Arial" w:hAnsi="Arial" w:cs="Arial"/>
          <w:sz w:val="24"/>
        </w:rPr>
        <w:t>“</w:t>
      </w:r>
      <w:r w:rsidRPr="009F07BF">
        <w:rPr>
          <w:rFonts w:ascii="Arial" w:hAnsi="Arial" w:cs="Arial"/>
          <w:i/>
          <w:sz w:val="24"/>
        </w:rPr>
        <w:t>Comunicados Clientes Compartidos Anexo A</w:t>
      </w:r>
      <w:r w:rsidRPr="009F07BF">
        <w:rPr>
          <w:rFonts w:ascii="Arial" w:hAnsi="Arial" w:cs="Arial"/>
          <w:sz w:val="24"/>
        </w:rPr>
        <w:t>”</w:t>
      </w:r>
      <w:r w:rsidR="00CA24FC" w:rsidRPr="00CA24FC">
        <w:rPr>
          <w:lang w:val="pt-BR"/>
        </w:rPr>
        <w:t xml:space="preserve"> </w:t>
      </w:r>
      <w:r w:rsidR="00CA24FC" w:rsidRPr="00CA24FC">
        <w:rPr>
          <w:rFonts w:ascii="Arial" w:hAnsi="Arial" w:cs="Arial"/>
          <w:sz w:val="24"/>
          <w:szCs w:val="24"/>
          <w:lang w:val="pt-BR"/>
        </w:rPr>
        <w:t>(</w:t>
      </w:r>
      <w:proofErr w:type="spellStart"/>
      <w:r w:rsidR="00CA24FC">
        <w:rPr>
          <w:rFonts w:ascii="Arial" w:hAnsi="Arial" w:cs="Arial"/>
          <w:sz w:val="24"/>
          <w:szCs w:val="24"/>
          <w:lang w:val="pt-BR"/>
        </w:rPr>
        <w:t>f</w:t>
      </w:r>
      <w:r w:rsidR="00CA24FC" w:rsidRPr="00CA24FC">
        <w:rPr>
          <w:rFonts w:ascii="Arial" w:hAnsi="Arial" w:cs="Arial"/>
          <w:sz w:val="24"/>
          <w:szCs w:val="24"/>
          <w:lang w:val="pt-BR"/>
        </w:rPr>
        <w:t>olios</w:t>
      </w:r>
      <w:proofErr w:type="spellEnd"/>
      <w:r w:rsidR="00CA24FC" w:rsidRPr="00CA24FC">
        <w:rPr>
          <w:rFonts w:ascii="Arial" w:hAnsi="Arial" w:cs="Arial"/>
          <w:sz w:val="24"/>
          <w:lang w:val="pt-BR"/>
        </w:rPr>
        <w:t xml:space="preserve"> 505 a 521</w:t>
      </w:r>
      <w:r w:rsidR="00CA24FC">
        <w:rPr>
          <w:rFonts w:ascii="Arial" w:hAnsi="Arial" w:cs="Arial"/>
          <w:sz w:val="24"/>
          <w:lang w:val="pt-BR"/>
        </w:rPr>
        <w:t>)</w:t>
      </w:r>
      <w:r w:rsidRPr="009F07BF">
        <w:rPr>
          <w:rFonts w:ascii="Arial" w:hAnsi="Arial" w:cs="Arial"/>
          <w:sz w:val="24"/>
        </w:rPr>
        <w:t xml:space="preserve">: comunicados que tienen por destinatarios a comercios que tienen contrato de TPV en BANKIA y también en COMERCIA, y que se encuentran en los </w:t>
      </w:r>
      <w:proofErr w:type="spellStart"/>
      <w:r w:rsidRPr="009F07BF">
        <w:rPr>
          <w:rFonts w:ascii="Arial" w:hAnsi="Arial" w:cs="Arial"/>
          <w:sz w:val="24"/>
        </w:rPr>
        <w:t>CPs</w:t>
      </w:r>
      <w:proofErr w:type="spellEnd"/>
      <w:r w:rsidRPr="009F07BF">
        <w:rPr>
          <w:rFonts w:ascii="Arial" w:hAnsi="Arial" w:cs="Arial"/>
          <w:sz w:val="24"/>
        </w:rPr>
        <w:t xml:space="preserve"> detallados en el Anexo 6(A) de los compromisos de referencia.</w:t>
      </w:r>
    </w:p>
    <w:p w14:paraId="114E980A" w14:textId="77777777" w:rsidR="009F07BF" w:rsidRPr="009F07BF" w:rsidRDefault="009F07BF" w:rsidP="009F07BF">
      <w:pPr>
        <w:spacing w:after="120" w:line="240" w:lineRule="auto"/>
        <w:jc w:val="both"/>
        <w:rPr>
          <w:rFonts w:ascii="Arial" w:hAnsi="Arial" w:cs="Arial"/>
          <w:sz w:val="24"/>
        </w:rPr>
      </w:pPr>
      <w:r w:rsidRPr="009F07BF">
        <w:rPr>
          <w:rFonts w:ascii="Arial" w:hAnsi="Arial" w:cs="Arial"/>
          <w:sz w:val="24"/>
        </w:rPr>
        <w:t xml:space="preserve">Según CAIXABANK, estos escritos se tratan de “comunicados inteligentes” en los que el cliente (autónomos y empresas) recibirá aquellos cambios de condiciones </w:t>
      </w:r>
      <w:r w:rsidRPr="009F07BF">
        <w:rPr>
          <w:rFonts w:ascii="Arial" w:hAnsi="Arial" w:cs="Arial"/>
          <w:sz w:val="24"/>
        </w:rPr>
        <w:lastRenderedPageBreak/>
        <w:t>económicas que afecten, únicamente, a los productos que tenga contratados. Es decir, el cliente no recibirá en su comunicación las cláusulas relativas a cambios de productos que no tenga contratados.</w:t>
      </w:r>
    </w:p>
    <w:p w14:paraId="0F2B814A" w14:textId="39D2B34A" w:rsidR="009F07BF" w:rsidRPr="009F07BF" w:rsidRDefault="009F07BF" w:rsidP="009F07BF">
      <w:pPr>
        <w:spacing w:after="120" w:line="240" w:lineRule="auto"/>
        <w:jc w:val="both"/>
        <w:rPr>
          <w:rFonts w:ascii="Arial" w:hAnsi="Arial" w:cs="Arial"/>
          <w:sz w:val="24"/>
        </w:rPr>
      </w:pPr>
      <w:r w:rsidRPr="009F07BF">
        <w:rPr>
          <w:rFonts w:ascii="Arial" w:hAnsi="Arial" w:cs="Arial"/>
          <w:sz w:val="24"/>
        </w:rPr>
        <w:t>En total, según las estimaciones de CAIXABANK, afectaría a unos 160.000 comercios</w:t>
      </w:r>
      <w:r w:rsidR="00F66D47" w:rsidRPr="00F66D47">
        <w:rPr>
          <w:lang w:val="pt-BR"/>
        </w:rPr>
        <w:t xml:space="preserve"> </w:t>
      </w:r>
      <w:r w:rsidR="00F66D47" w:rsidRPr="00F66D47">
        <w:rPr>
          <w:rFonts w:ascii="Arial" w:hAnsi="Arial" w:cs="Arial"/>
          <w:sz w:val="24"/>
          <w:szCs w:val="24"/>
          <w:lang w:val="pt-BR"/>
        </w:rPr>
        <w:t>(folio 467</w:t>
      </w:r>
      <w:r w:rsidR="00F66D47">
        <w:rPr>
          <w:rFonts w:ascii="Arial" w:hAnsi="Arial" w:cs="Arial"/>
          <w:sz w:val="24"/>
          <w:lang w:val="pt-BR"/>
        </w:rPr>
        <w:t>)</w:t>
      </w:r>
      <w:r w:rsidRPr="009F07BF">
        <w:rPr>
          <w:rFonts w:ascii="Arial" w:hAnsi="Arial" w:cs="Arial"/>
          <w:sz w:val="24"/>
        </w:rPr>
        <w:t>.</w:t>
      </w:r>
    </w:p>
    <w:p w14:paraId="710B2415" w14:textId="379FBDDC" w:rsidR="007E1C97" w:rsidRPr="007E1C97" w:rsidRDefault="009F07BF" w:rsidP="00BD2D23">
      <w:pPr>
        <w:spacing w:after="120" w:line="240" w:lineRule="auto"/>
        <w:jc w:val="both"/>
        <w:rPr>
          <w:rFonts w:ascii="Arial" w:eastAsia="Times New Roman" w:hAnsi="Arial" w:cs="Arial"/>
          <w:sz w:val="24"/>
          <w:szCs w:val="24"/>
          <w:lang w:eastAsia="es-ES"/>
        </w:rPr>
      </w:pPr>
      <w:r w:rsidRPr="009F07BF">
        <w:rPr>
          <w:rFonts w:ascii="Arial" w:hAnsi="Arial" w:cs="Arial"/>
          <w:sz w:val="24"/>
        </w:rPr>
        <w:t xml:space="preserve">Dado que, a fecha actual, la operación consistente en la cesión por CAIXABANK a COMERCIA del negocio de </w:t>
      </w:r>
      <w:proofErr w:type="spellStart"/>
      <w:r w:rsidRPr="009F07BF">
        <w:rPr>
          <w:rFonts w:ascii="Arial" w:hAnsi="Arial" w:cs="Arial"/>
          <w:sz w:val="24"/>
        </w:rPr>
        <w:t>TPVs</w:t>
      </w:r>
      <w:proofErr w:type="spellEnd"/>
      <w:r w:rsidRPr="009F07BF">
        <w:rPr>
          <w:rFonts w:ascii="Arial" w:hAnsi="Arial" w:cs="Arial"/>
          <w:sz w:val="24"/>
        </w:rPr>
        <w:t xml:space="preserve"> que venía siendo prestado por BANKIA se encuentra pendiente de análisis y autorización por la CNMC en el marco del control de concentraciones, los modelos de comunicación descritos incluyen una cláusula mediante la que informan al cliente de que “</w:t>
      </w:r>
      <w:r w:rsidRPr="009F07BF">
        <w:rPr>
          <w:rFonts w:ascii="Arial" w:hAnsi="Arial" w:cs="Arial"/>
          <w:i/>
          <w:sz w:val="24"/>
        </w:rPr>
        <w:t>la transmisión del referido negocio está sujeta a la obtención de las autorizaciones administrativas pertinentes, entre ellas la de la Comisión Nacional de Mercados y Competencia</w:t>
      </w:r>
      <w:r w:rsidRPr="009F07BF">
        <w:rPr>
          <w:rFonts w:ascii="Arial" w:hAnsi="Arial" w:cs="Arial"/>
          <w:sz w:val="24"/>
        </w:rPr>
        <w:t>”</w:t>
      </w:r>
      <w:r w:rsidRPr="009F07BF">
        <w:rPr>
          <w:rFonts w:ascii="Arial" w:hAnsi="Arial" w:cs="Arial"/>
          <w:sz w:val="24"/>
          <w:vertAlign w:val="superscript"/>
        </w:rPr>
        <w:footnoteReference w:id="3"/>
      </w:r>
      <w:r w:rsidRPr="009F07BF">
        <w:rPr>
          <w:rFonts w:ascii="Arial" w:hAnsi="Arial" w:cs="Arial"/>
          <w:sz w:val="24"/>
          <w:vertAlign w:val="superscript"/>
        </w:rPr>
        <w:t>/</w:t>
      </w:r>
      <w:r w:rsidRPr="009F07BF">
        <w:rPr>
          <w:rFonts w:ascii="Arial" w:hAnsi="Arial" w:cs="Arial"/>
          <w:sz w:val="24"/>
          <w:vertAlign w:val="superscript"/>
        </w:rPr>
        <w:footnoteReference w:id="4"/>
      </w:r>
      <w:r w:rsidR="00C67C4A">
        <w:rPr>
          <w:rFonts w:ascii="Arial" w:hAnsi="Arial" w:cs="Arial"/>
          <w:sz w:val="24"/>
        </w:rPr>
        <w:t>.</w:t>
      </w:r>
    </w:p>
    <w:p w14:paraId="7B0F8487" w14:textId="77777777" w:rsidR="00FB7D49" w:rsidRPr="000C65C4" w:rsidRDefault="00FB7D49" w:rsidP="00C267BD">
      <w:pPr>
        <w:pStyle w:val="Ttulo"/>
        <w:numPr>
          <w:ilvl w:val="0"/>
          <w:numId w:val="4"/>
        </w:numPr>
        <w:jc w:val="left"/>
        <w:rPr>
          <w:lang w:eastAsia="es-ES"/>
        </w:rPr>
      </w:pPr>
      <w:r w:rsidRPr="000C65C4">
        <w:rPr>
          <w:lang w:eastAsia="es-ES"/>
        </w:rPr>
        <w:t>FUN</w:t>
      </w:r>
      <w:r w:rsidRPr="000C65C4">
        <w:rPr>
          <w:spacing w:val="4"/>
          <w:lang w:eastAsia="es-ES"/>
        </w:rPr>
        <w:t>D</w:t>
      </w:r>
      <w:r w:rsidRPr="000C65C4">
        <w:rPr>
          <w:spacing w:val="-5"/>
          <w:lang w:eastAsia="es-ES"/>
        </w:rPr>
        <w:t>A</w:t>
      </w:r>
      <w:r w:rsidRPr="000C65C4">
        <w:rPr>
          <w:spacing w:val="-1"/>
          <w:lang w:eastAsia="es-ES"/>
        </w:rPr>
        <w:t>M</w:t>
      </w:r>
      <w:r w:rsidRPr="000C65C4">
        <w:rPr>
          <w:spacing w:val="1"/>
          <w:lang w:eastAsia="es-ES"/>
        </w:rPr>
        <w:t>E</w:t>
      </w:r>
      <w:r w:rsidRPr="000C65C4">
        <w:rPr>
          <w:lang w:eastAsia="es-ES"/>
        </w:rPr>
        <w:t>N</w:t>
      </w:r>
      <w:r w:rsidRPr="000C65C4">
        <w:rPr>
          <w:spacing w:val="5"/>
          <w:lang w:eastAsia="es-ES"/>
        </w:rPr>
        <w:t xml:space="preserve">TOS </w:t>
      </w:r>
      <w:r w:rsidRPr="000C65C4">
        <w:rPr>
          <w:lang w:eastAsia="es-ES"/>
        </w:rPr>
        <w:t>DE DERECHO</w:t>
      </w:r>
    </w:p>
    <w:p w14:paraId="1D5C26EE" w14:textId="77777777" w:rsidR="000C65C4" w:rsidRPr="000C65C4" w:rsidRDefault="00A90E19" w:rsidP="00714A59">
      <w:pPr>
        <w:pStyle w:val="Ttulo2"/>
        <w:spacing w:before="360"/>
        <w:rPr>
          <w:lang w:val="pt-BR"/>
        </w:rPr>
      </w:pPr>
      <w:r w:rsidRPr="000C65C4">
        <w:rPr>
          <w:spacing w:val="1"/>
          <w:lang w:val="pt-BR"/>
        </w:rPr>
        <w:t>P</w:t>
      </w:r>
      <w:r w:rsidRPr="000C65C4">
        <w:rPr>
          <w:lang w:val="pt-BR"/>
        </w:rPr>
        <w:t>RI</w:t>
      </w:r>
      <w:r w:rsidRPr="000C65C4">
        <w:rPr>
          <w:spacing w:val="-1"/>
          <w:lang w:val="pt-BR"/>
        </w:rPr>
        <w:t>M</w:t>
      </w:r>
      <w:r w:rsidRPr="000C65C4">
        <w:rPr>
          <w:spacing w:val="1"/>
          <w:lang w:val="pt-BR"/>
        </w:rPr>
        <w:t>E</w:t>
      </w:r>
      <w:r w:rsidRPr="000C65C4">
        <w:rPr>
          <w:lang w:val="pt-BR"/>
        </w:rPr>
        <w:t>RO.</w:t>
      </w:r>
      <w:r>
        <w:rPr>
          <w:lang w:val="pt-BR"/>
        </w:rPr>
        <w:t xml:space="preserve"> -</w:t>
      </w:r>
      <w:r w:rsidR="000C65C4" w:rsidRPr="000C65C4">
        <w:rPr>
          <w:lang w:val="pt-BR"/>
        </w:rPr>
        <w:t xml:space="preserve">  </w:t>
      </w:r>
      <w:r w:rsidR="009209F2" w:rsidRPr="000C65C4">
        <w:rPr>
          <w:lang w:val="pt-BR"/>
        </w:rPr>
        <w:t>HABILITACIÓN COMPETENCIAL</w:t>
      </w:r>
      <w:bookmarkEnd w:id="0"/>
    </w:p>
    <w:p w14:paraId="734E43E9" w14:textId="77777777" w:rsidR="00316410" w:rsidRPr="00316410" w:rsidRDefault="00316410" w:rsidP="00316410">
      <w:pPr>
        <w:autoSpaceDE w:val="0"/>
        <w:autoSpaceDN w:val="0"/>
        <w:adjustRightInd w:val="0"/>
        <w:spacing w:before="120" w:after="0" w:line="240" w:lineRule="auto"/>
        <w:jc w:val="both"/>
        <w:rPr>
          <w:rFonts w:ascii="Arial" w:eastAsia="Times New Roman" w:hAnsi="Arial" w:cs="Arial"/>
          <w:sz w:val="24"/>
          <w:szCs w:val="24"/>
          <w:lang w:eastAsia="es-ES"/>
        </w:rPr>
      </w:pPr>
      <w:r w:rsidRPr="00316410">
        <w:rPr>
          <w:rFonts w:ascii="Arial" w:eastAsia="Times New Roman" w:hAnsi="Arial" w:cs="Arial"/>
          <w:sz w:val="24"/>
          <w:szCs w:val="24"/>
          <w:lang w:eastAsia="es-ES"/>
        </w:rPr>
        <w:t>La Ley 15/2007, de 3 de julio, de Defensa de la Competencia</w:t>
      </w:r>
      <w:r w:rsidR="00C31989">
        <w:rPr>
          <w:rFonts w:ascii="Arial" w:eastAsia="Times New Roman" w:hAnsi="Arial" w:cs="Arial"/>
          <w:sz w:val="24"/>
          <w:szCs w:val="24"/>
          <w:lang w:eastAsia="es-ES"/>
        </w:rPr>
        <w:t xml:space="preserve"> (LDC)</w:t>
      </w:r>
      <w:r w:rsidRPr="00316410">
        <w:rPr>
          <w:rFonts w:ascii="Arial" w:eastAsia="Times New Roman" w:hAnsi="Arial" w:cs="Arial"/>
          <w:sz w:val="24"/>
          <w:szCs w:val="24"/>
          <w:lang w:eastAsia="es-ES"/>
        </w:rPr>
        <w:t xml:space="preserve">, en su artículo 41, dispone que la </w:t>
      </w:r>
      <w:r w:rsidR="00C31989">
        <w:rPr>
          <w:rFonts w:ascii="Arial" w:eastAsia="Times New Roman" w:hAnsi="Arial" w:cs="Arial"/>
          <w:sz w:val="24"/>
          <w:szCs w:val="24"/>
          <w:lang w:eastAsia="es-ES"/>
        </w:rPr>
        <w:t xml:space="preserve">CNMC </w:t>
      </w:r>
      <w:r w:rsidRPr="00316410">
        <w:rPr>
          <w:rFonts w:ascii="Arial" w:eastAsia="Times New Roman" w:hAnsi="Arial" w:cs="Arial"/>
          <w:sz w:val="24"/>
          <w:szCs w:val="24"/>
          <w:lang w:eastAsia="es-ES"/>
        </w:rPr>
        <w:t xml:space="preserve">vigilará la ejecución y el cumplimiento de las obligaciones impuestas en aplicación de </w:t>
      </w:r>
      <w:proofErr w:type="gramStart"/>
      <w:r w:rsidRPr="00316410">
        <w:rPr>
          <w:rFonts w:ascii="Arial" w:eastAsia="Times New Roman" w:hAnsi="Arial" w:cs="Arial"/>
          <w:sz w:val="24"/>
          <w:szCs w:val="24"/>
          <w:lang w:eastAsia="es-ES"/>
        </w:rPr>
        <w:t>la misma</w:t>
      </w:r>
      <w:proofErr w:type="gramEnd"/>
      <w:r w:rsidRPr="00316410">
        <w:rPr>
          <w:rFonts w:ascii="Arial" w:eastAsia="Times New Roman" w:hAnsi="Arial" w:cs="Arial"/>
          <w:sz w:val="24"/>
          <w:szCs w:val="24"/>
          <w:lang w:eastAsia="es-ES"/>
        </w:rPr>
        <w:t>, tanto en materia de conductas restrictivas como de medidas cautelares y de control de concentraciones.</w:t>
      </w:r>
    </w:p>
    <w:p w14:paraId="1C903E7A" w14:textId="77777777" w:rsidR="00316410" w:rsidRPr="00316410" w:rsidRDefault="00316410" w:rsidP="00316410">
      <w:pPr>
        <w:autoSpaceDE w:val="0"/>
        <w:autoSpaceDN w:val="0"/>
        <w:adjustRightInd w:val="0"/>
        <w:spacing w:before="120" w:after="0" w:line="240" w:lineRule="auto"/>
        <w:jc w:val="both"/>
        <w:rPr>
          <w:rFonts w:ascii="Arial" w:eastAsia="Times New Roman" w:hAnsi="Arial" w:cs="Arial"/>
          <w:sz w:val="24"/>
          <w:szCs w:val="24"/>
          <w:lang w:eastAsia="es-ES"/>
        </w:rPr>
      </w:pPr>
      <w:r w:rsidRPr="00316410">
        <w:rPr>
          <w:rFonts w:ascii="Arial" w:eastAsia="Times New Roman" w:hAnsi="Arial" w:cs="Arial"/>
          <w:sz w:val="24"/>
          <w:szCs w:val="24"/>
          <w:lang w:eastAsia="es-ES"/>
        </w:rPr>
        <w:t>La previsión anterior respecto a las operaciones de concentración incluye la vigilancia del cumplimiento de los compromisos propuestos por los notificantes y recogidos en la resolución del Consejo que pone fin al procedimiento de acuerdo con lo previsto en los artículos 57 y 58 de la LDC.</w:t>
      </w:r>
    </w:p>
    <w:p w14:paraId="64B99979" w14:textId="77777777" w:rsidR="00316410" w:rsidRPr="00316410" w:rsidRDefault="00316410" w:rsidP="00316410">
      <w:pPr>
        <w:autoSpaceDE w:val="0"/>
        <w:autoSpaceDN w:val="0"/>
        <w:adjustRightInd w:val="0"/>
        <w:spacing w:before="120" w:after="0" w:line="240" w:lineRule="auto"/>
        <w:jc w:val="both"/>
        <w:rPr>
          <w:rFonts w:ascii="Arial" w:eastAsia="Times New Roman" w:hAnsi="Arial" w:cs="Arial"/>
          <w:sz w:val="24"/>
          <w:szCs w:val="24"/>
          <w:lang w:eastAsia="es-ES"/>
        </w:rPr>
      </w:pPr>
      <w:r w:rsidRPr="00316410">
        <w:rPr>
          <w:rFonts w:ascii="Arial" w:eastAsia="Times New Roman" w:hAnsi="Arial" w:cs="Arial"/>
          <w:sz w:val="24"/>
          <w:szCs w:val="24"/>
          <w:lang w:eastAsia="es-ES"/>
        </w:rPr>
        <w:t>El artículo 71 del Reglamento de Defensa de la Competencia, aprobado por Real Decreto 261/2008, de 22 de febrero, precisa en su apartado 3 que "</w:t>
      </w:r>
      <w:r w:rsidR="00C31989">
        <w:rPr>
          <w:rFonts w:ascii="Arial" w:eastAsia="Times New Roman" w:hAnsi="Arial" w:cs="Arial"/>
          <w:i/>
          <w:iCs/>
          <w:sz w:val="24"/>
          <w:szCs w:val="24"/>
          <w:lang w:eastAsia="es-ES"/>
        </w:rPr>
        <w:t>e</w:t>
      </w:r>
      <w:r w:rsidRPr="00316410">
        <w:rPr>
          <w:rFonts w:ascii="Arial" w:eastAsia="Times New Roman" w:hAnsi="Arial" w:cs="Arial"/>
          <w:i/>
          <w:iCs/>
          <w:sz w:val="24"/>
          <w:szCs w:val="24"/>
          <w:lang w:eastAsia="es-ES"/>
        </w:rPr>
        <w:t xml:space="preserve">l Consejo de la Comisión Nacional de la Competencia </w:t>
      </w:r>
      <w:r w:rsidRPr="00316410">
        <w:rPr>
          <w:rFonts w:ascii="Arial" w:eastAsia="Times New Roman" w:hAnsi="Arial" w:cs="Arial"/>
          <w:iCs/>
          <w:sz w:val="24"/>
          <w:szCs w:val="24"/>
          <w:lang w:eastAsia="es-ES"/>
        </w:rPr>
        <w:t>[actualmente CNMC]</w:t>
      </w:r>
      <w:r w:rsidRPr="00316410">
        <w:rPr>
          <w:rFonts w:ascii="Arial" w:eastAsia="Times New Roman" w:hAnsi="Arial" w:cs="Arial"/>
          <w:i/>
          <w:iCs/>
          <w:sz w:val="24"/>
          <w:szCs w:val="24"/>
          <w:lang w:eastAsia="es-ES"/>
        </w:rPr>
        <w:t xml:space="preserve"> resolverá las cuestiones que puedan suscitarse durante la vigilancia”, </w:t>
      </w:r>
      <w:r w:rsidRPr="00316410">
        <w:rPr>
          <w:rFonts w:ascii="Arial" w:eastAsia="Times New Roman" w:hAnsi="Arial" w:cs="Arial"/>
          <w:sz w:val="24"/>
          <w:szCs w:val="24"/>
          <w:lang w:eastAsia="es-ES"/>
        </w:rPr>
        <w:t>previa propuesta de la Dirección de Competencia.</w:t>
      </w:r>
    </w:p>
    <w:p w14:paraId="3F4197EA" w14:textId="77777777" w:rsidR="000C65C4" w:rsidRPr="00CE3BD5" w:rsidRDefault="00316410" w:rsidP="00CE3BD5">
      <w:pPr>
        <w:autoSpaceDE w:val="0"/>
        <w:autoSpaceDN w:val="0"/>
        <w:adjustRightInd w:val="0"/>
        <w:spacing w:before="120" w:after="0" w:line="240" w:lineRule="auto"/>
        <w:jc w:val="both"/>
        <w:rPr>
          <w:rFonts w:ascii="Arial" w:eastAsia="Times New Roman" w:hAnsi="Arial" w:cs="Arial"/>
          <w:sz w:val="24"/>
          <w:szCs w:val="24"/>
          <w:lang w:eastAsia="es-ES"/>
        </w:rPr>
      </w:pPr>
      <w:r w:rsidRPr="00316410">
        <w:rPr>
          <w:rFonts w:ascii="Arial" w:eastAsia="Times New Roman" w:hAnsi="Arial" w:cs="Arial"/>
          <w:sz w:val="24"/>
          <w:szCs w:val="24"/>
          <w:lang w:eastAsia="es-ES"/>
        </w:rPr>
        <w:t xml:space="preserve">En consecuencia, de conformidad con lo previsto en </w:t>
      </w:r>
      <w:r w:rsidR="00E768B2">
        <w:rPr>
          <w:rFonts w:ascii="Arial" w:eastAsia="Times New Roman" w:hAnsi="Arial" w:cs="Arial"/>
          <w:sz w:val="24"/>
          <w:szCs w:val="24"/>
          <w:lang w:eastAsia="es-ES"/>
        </w:rPr>
        <w:t xml:space="preserve">los </w:t>
      </w:r>
      <w:r w:rsidRPr="00316410">
        <w:rPr>
          <w:rFonts w:ascii="Arial" w:eastAsia="Times New Roman" w:hAnsi="Arial" w:cs="Arial"/>
          <w:sz w:val="24"/>
          <w:szCs w:val="24"/>
          <w:lang w:eastAsia="es-ES"/>
        </w:rPr>
        <w:t>artículo</w:t>
      </w:r>
      <w:r w:rsidR="00E768B2">
        <w:rPr>
          <w:rFonts w:ascii="Arial" w:eastAsia="Times New Roman" w:hAnsi="Arial" w:cs="Arial"/>
          <w:sz w:val="24"/>
          <w:szCs w:val="24"/>
          <w:lang w:eastAsia="es-ES"/>
        </w:rPr>
        <w:t>s</w:t>
      </w:r>
      <w:r w:rsidRPr="00316410">
        <w:rPr>
          <w:rFonts w:ascii="Arial" w:eastAsia="Times New Roman" w:hAnsi="Arial" w:cs="Arial"/>
          <w:sz w:val="24"/>
          <w:szCs w:val="24"/>
          <w:lang w:eastAsia="es-ES"/>
        </w:rPr>
        <w:t xml:space="preserve"> 21.2 de la Ley 3/2013</w:t>
      </w:r>
      <w:r w:rsidR="00C31989" w:rsidRPr="00C31989">
        <w:rPr>
          <w:rFonts w:ascii="Arial" w:hAnsi="Arial" w:cs="Arial"/>
          <w:color w:val="545454"/>
          <w:sz w:val="21"/>
          <w:szCs w:val="21"/>
          <w:shd w:val="clear" w:color="auto" w:fill="FFFFFF"/>
        </w:rPr>
        <w:t xml:space="preserve"> </w:t>
      </w:r>
      <w:r w:rsidR="00C31989" w:rsidRPr="00C31989">
        <w:rPr>
          <w:rFonts w:ascii="Arial" w:eastAsia="Times New Roman" w:hAnsi="Arial" w:cs="Arial"/>
          <w:sz w:val="24"/>
          <w:szCs w:val="24"/>
          <w:lang w:eastAsia="es-ES"/>
        </w:rPr>
        <w:t>de 4 de junio, de creación de la</w:t>
      </w:r>
      <w:r w:rsidR="00C31989">
        <w:rPr>
          <w:rFonts w:ascii="Arial" w:eastAsia="Times New Roman" w:hAnsi="Arial" w:cs="Arial"/>
          <w:sz w:val="24"/>
          <w:szCs w:val="24"/>
          <w:lang w:eastAsia="es-ES"/>
        </w:rPr>
        <w:t xml:space="preserve"> CNMC,</w:t>
      </w:r>
      <w:r w:rsidRPr="00316410">
        <w:rPr>
          <w:rFonts w:ascii="Arial" w:eastAsia="Times New Roman" w:hAnsi="Arial" w:cs="Arial"/>
          <w:sz w:val="24"/>
          <w:szCs w:val="24"/>
          <w:lang w:eastAsia="es-ES"/>
        </w:rPr>
        <w:t xml:space="preserve"> y 14.1.a) del Estatuto Orgánico de </w:t>
      </w:r>
      <w:r w:rsidRPr="00316410">
        <w:rPr>
          <w:rFonts w:ascii="Arial" w:eastAsia="Times New Roman" w:hAnsi="Arial" w:cs="Arial"/>
          <w:sz w:val="24"/>
          <w:szCs w:val="24"/>
          <w:lang w:eastAsia="es-ES"/>
        </w:rPr>
        <w:lastRenderedPageBreak/>
        <w:t xml:space="preserve">la CNMC, aprobado por </w:t>
      </w:r>
      <w:r w:rsidR="00E768B2">
        <w:rPr>
          <w:rFonts w:ascii="Arial" w:eastAsia="Times New Roman" w:hAnsi="Arial" w:cs="Arial"/>
          <w:sz w:val="24"/>
          <w:szCs w:val="24"/>
          <w:lang w:eastAsia="es-ES"/>
        </w:rPr>
        <w:t xml:space="preserve">el </w:t>
      </w:r>
      <w:r w:rsidRPr="00316410">
        <w:rPr>
          <w:rFonts w:ascii="Arial" w:eastAsia="Times New Roman" w:hAnsi="Arial" w:cs="Arial"/>
          <w:sz w:val="24"/>
          <w:szCs w:val="24"/>
          <w:lang w:eastAsia="es-ES"/>
        </w:rPr>
        <w:t>R</w:t>
      </w:r>
      <w:r w:rsidR="00E768B2">
        <w:rPr>
          <w:rFonts w:ascii="Arial" w:eastAsia="Times New Roman" w:hAnsi="Arial" w:cs="Arial"/>
          <w:sz w:val="24"/>
          <w:szCs w:val="24"/>
          <w:lang w:eastAsia="es-ES"/>
        </w:rPr>
        <w:t xml:space="preserve">eal </w:t>
      </w:r>
      <w:r w:rsidRPr="00CE3BD5">
        <w:rPr>
          <w:rFonts w:ascii="Arial" w:eastAsia="Times New Roman" w:hAnsi="Arial" w:cs="Arial"/>
          <w:sz w:val="24"/>
          <w:szCs w:val="24"/>
          <w:lang w:eastAsia="es-ES"/>
        </w:rPr>
        <w:t>D</w:t>
      </w:r>
      <w:r w:rsidR="00E768B2" w:rsidRPr="00CE3BD5">
        <w:rPr>
          <w:rFonts w:ascii="Arial" w:eastAsia="Times New Roman" w:hAnsi="Arial" w:cs="Arial"/>
          <w:sz w:val="24"/>
          <w:szCs w:val="24"/>
          <w:lang w:eastAsia="es-ES"/>
        </w:rPr>
        <w:t>ecreto</w:t>
      </w:r>
      <w:r w:rsidRPr="00CE3BD5">
        <w:rPr>
          <w:rFonts w:ascii="Arial" w:eastAsia="Times New Roman" w:hAnsi="Arial" w:cs="Arial"/>
          <w:sz w:val="24"/>
          <w:szCs w:val="24"/>
          <w:lang w:eastAsia="es-ES"/>
        </w:rPr>
        <w:t xml:space="preserve"> 657/2013,</w:t>
      </w:r>
      <w:r w:rsidR="00E768B2" w:rsidRPr="00CE3BD5">
        <w:rPr>
          <w:rFonts w:ascii="Arial" w:eastAsia="Times New Roman" w:hAnsi="Arial" w:cs="Arial"/>
          <w:sz w:val="24"/>
          <w:szCs w:val="24"/>
          <w:lang w:eastAsia="es-ES"/>
        </w:rPr>
        <w:t xml:space="preserve"> de 30 de agosto,</w:t>
      </w:r>
      <w:r w:rsidRPr="00CE3BD5">
        <w:rPr>
          <w:rFonts w:ascii="Arial" w:eastAsia="Times New Roman" w:hAnsi="Arial" w:cs="Arial"/>
          <w:sz w:val="24"/>
          <w:szCs w:val="24"/>
          <w:lang w:eastAsia="es-ES"/>
        </w:rPr>
        <w:t xml:space="preserve"> la competencia para </w:t>
      </w:r>
      <w:r w:rsidR="00D80D85" w:rsidRPr="00CE3BD5">
        <w:rPr>
          <w:rFonts w:ascii="Arial" w:eastAsia="Times New Roman" w:hAnsi="Arial" w:cs="Arial"/>
          <w:sz w:val="24"/>
          <w:szCs w:val="24"/>
          <w:lang w:eastAsia="es-ES"/>
        </w:rPr>
        <w:t>dictar este acuerdo</w:t>
      </w:r>
      <w:r w:rsidRPr="00CE3BD5">
        <w:rPr>
          <w:rFonts w:ascii="Arial" w:eastAsia="Times New Roman" w:hAnsi="Arial" w:cs="Arial"/>
          <w:sz w:val="24"/>
          <w:szCs w:val="24"/>
          <w:lang w:eastAsia="es-ES"/>
        </w:rPr>
        <w:t xml:space="preserve"> corresponde a la Sala de Competencia del Consejo de la CNMC.</w:t>
      </w:r>
    </w:p>
    <w:p w14:paraId="526DC77F" w14:textId="77777777" w:rsidR="007F4991" w:rsidRPr="00CE3BD5" w:rsidRDefault="007F4991" w:rsidP="00CE3BD5">
      <w:pPr>
        <w:autoSpaceDE w:val="0"/>
        <w:autoSpaceDN w:val="0"/>
        <w:adjustRightInd w:val="0"/>
        <w:spacing w:before="120" w:after="0" w:line="240" w:lineRule="auto"/>
        <w:jc w:val="both"/>
        <w:rPr>
          <w:rFonts w:ascii="Arial" w:eastAsia="Times New Roman" w:hAnsi="Arial" w:cs="Arial"/>
          <w:sz w:val="24"/>
          <w:szCs w:val="24"/>
          <w:lang w:eastAsia="es-ES"/>
        </w:rPr>
      </w:pPr>
    </w:p>
    <w:p w14:paraId="588B24A8" w14:textId="77777777" w:rsidR="003C1637" w:rsidRPr="00CE3BD5" w:rsidRDefault="004A60B5" w:rsidP="00B5349D">
      <w:pPr>
        <w:pStyle w:val="Ttulo2"/>
        <w:spacing w:before="0" w:after="0"/>
        <w:rPr>
          <w:rFonts w:cs="Arial"/>
          <w:szCs w:val="24"/>
        </w:rPr>
      </w:pPr>
      <w:r w:rsidRPr="00CE3BD5">
        <w:rPr>
          <w:rFonts w:eastAsia="Times New Roman" w:cs="Arial"/>
          <w:bCs w:val="0"/>
          <w:szCs w:val="24"/>
        </w:rPr>
        <w:t>SEGUNDO</w:t>
      </w:r>
      <w:r w:rsidR="005040BE" w:rsidRPr="00CE3BD5">
        <w:rPr>
          <w:rFonts w:eastAsia="Times New Roman" w:cs="Arial"/>
          <w:bCs w:val="0"/>
          <w:szCs w:val="24"/>
        </w:rPr>
        <w:t xml:space="preserve">. - VALORACIÓN DE LA </w:t>
      </w:r>
      <w:r w:rsidRPr="00CE3BD5">
        <w:rPr>
          <w:rFonts w:cs="Arial"/>
          <w:szCs w:val="24"/>
        </w:rPr>
        <w:t>SALA DE COMPETENCIA</w:t>
      </w:r>
    </w:p>
    <w:p w14:paraId="6D0A32D8" w14:textId="77777777" w:rsidR="003C1637" w:rsidRPr="00CE3BD5" w:rsidRDefault="003C1637" w:rsidP="00B5349D">
      <w:pPr>
        <w:keepNext/>
        <w:keepLines/>
        <w:spacing w:after="0" w:line="240" w:lineRule="auto"/>
        <w:jc w:val="both"/>
        <w:rPr>
          <w:rFonts w:ascii="Arial" w:hAnsi="Arial" w:cs="Arial"/>
          <w:sz w:val="24"/>
          <w:szCs w:val="24"/>
          <w:lang w:eastAsia="es-ES"/>
        </w:rPr>
      </w:pPr>
    </w:p>
    <w:p w14:paraId="0C8A3760" w14:textId="779A2406" w:rsidR="00E32ACB" w:rsidRPr="00E32ACB" w:rsidRDefault="00CE3BD5" w:rsidP="00E32ACB">
      <w:pPr>
        <w:spacing w:after="120" w:line="240" w:lineRule="auto"/>
        <w:jc w:val="both"/>
        <w:rPr>
          <w:rFonts w:ascii="Arial" w:hAnsi="Arial" w:cs="Arial"/>
          <w:sz w:val="24"/>
        </w:rPr>
      </w:pPr>
      <w:r w:rsidRPr="00E32ACB">
        <w:rPr>
          <w:rFonts w:ascii="Arial" w:hAnsi="Arial" w:cs="Arial"/>
          <w:sz w:val="24"/>
        </w:rPr>
        <w:t xml:space="preserve">En su Informe </w:t>
      </w:r>
      <w:r w:rsidR="00F22F6C" w:rsidRPr="00E32ACB">
        <w:rPr>
          <w:rFonts w:ascii="Arial" w:hAnsi="Arial" w:cs="Arial"/>
          <w:sz w:val="24"/>
        </w:rPr>
        <w:t xml:space="preserve">parcial </w:t>
      </w:r>
      <w:r w:rsidRPr="00E32ACB">
        <w:rPr>
          <w:rFonts w:ascii="Arial" w:hAnsi="Arial" w:cs="Arial"/>
          <w:sz w:val="24"/>
        </w:rPr>
        <w:t xml:space="preserve">de vigilancia de </w:t>
      </w:r>
      <w:r w:rsidR="00E32ACB" w:rsidRPr="00E32ACB">
        <w:rPr>
          <w:rFonts w:ascii="Arial" w:hAnsi="Arial" w:cs="Arial"/>
          <w:sz w:val="24"/>
        </w:rPr>
        <w:t>8</w:t>
      </w:r>
      <w:r w:rsidRPr="00E32ACB">
        <w:rPr>
          <w:rFonts w:ascii="Arial" w:hAnsi="Arial" w:cs="Arial"/>
          <w:sz w:val="24"/>
        </w:rPr>
        <w:t xml:space="preserve"> de ju</w:t>
      </w:r>
      <w:r w:rsidR="00E32ACB" w:rsidRPr="00E32ACB">
        <w:rPr>
          <w:rFonts w:ascii="Arial" w:hAnsi="Arial" w:cs="Arial"/>
          <w:sz w:val="24"/>
        </w:rPr>
        <w:t xml:space="preserve">lio </w:t>
      </w:r>
      <w:r w:rsidRPr="00E32ACB">
        <w:rPr>
          <w:rFonts w:ascii="Arial" w:hAnsi="Arial" w:cs="Arial"/>
          <w:sz w:val="24"/>
        </w:rPr>
        <w:t>de 202</w:t>
      </w:r>
      <w:r w:rsidR="00F22F6C" w:rsidRPr="00E32ACB">
        <w:rPr>
          <w:rFonts w:ascii="Arial" w:hAnsi="Arial" w:cs="Arial"/>
          <w:sz w:val="24"/>
        </w:rPr>
        <w:t>1</w:t>
      </w:r>
      <w:r w:rsidR="00A16957" w:rsidRPr="00E32ACB">
        <w:rPr>
          <w:rFonts w:ascii="Arial" w:hAnsi="Arial" w:cs="Arial"/>
          <w:sz w:val="24"/>
        </w:rPr>
        <w:t>,</w:t>
      </w:r>
      <w:r w:rsidRPr="00E32ACB">
        <w:rPr>
          <w:rFonts w:ascii="Arial" w:hAnsi="Arial" w:cs="Arial"/>
          <w:sz w:val="24"/>
        </w:rPr>
        <w:t xml:space="preserve"> </w:t>
      </w:r>
      <w:r w:rsidR="00E32ACB">
        <w:rPr>
          <w:rFonts w:ascii="Arial" w:hAnsi="Arial" w:cs="Arial"/>
          <w:sz w:val="24"/>
        </w:rPr>
        <w:t>a</w:t>
      </w:r>
      <w:r w:rsidR="00E32ACB" w:rsidRPr="00E32ACB">
        <w:rPr>
          <w:rFonts w:ascii="Arial" w:hAnsi="Arial" w:cs="Arial"/>
          <w:sz w:val="24"/>
        </w:rPr>
        <w:t xml:space="preserve"> la vista de las comunicaciones presentadas por CAIXABANK para su aprobación por la CNMC, relativas a los tipos de servicios previamente descritos (banca privada, valores, fondos y cartera, así como los servicios relativos a </w:t>
      </w:r>
      <w:proofErr w:type="spellStart"/>
      <w:r w:rsidR="00E32ACB" w:rsidRPr="00E32ACB">
        <w:rPr>
          <w:rFonts w:ascii="Arial" w:hAnsi="Arial" w:cs="Arial"/>
          <w:sz w:val="24"/>
        </w:rPr>
        <w:t>TPVs</w:t>
      </w:r>
      <w:proofErr w:type="spellEnd"/>
      <w:r w:rsidR="00E32ACB" w:rsidRPr="00E32ACB">
        <w:rPr>
          <w:rFonts w:ascii="Arial" w:hAnsi="Arial" w:cs="Arial"/>
          <w:sz w:val="24"/>
        </w:rPr>
        <w:t xml:space="preserve">), así como de la información aclaratoria facilitada en relación a las mismas, </w:t>
      </w:r>
      <w:r w:rsidR="00E32ACB">
        <w:rPr>
          <w:rFonts w:ascii="Arial" w:hAnsi="Arial" w:cs="Arial"/>
          <w:sz w:val="24"/>
        </w:rPr>
        <w:t>la DC</w:t>
      </w:r>
      <w:r w:rsidR="00E32ACB" w:rsidRPr="00E32ACB">
        <w:rPr>
          <w:rFonts w:ascii="Arial" w:hAnsi="Arial" w:cs="Arial"/>
          <w:sz w:val="24"/>
        </w:rPr>
        <w:t xml:space="preserve"> considera que tales escritos reflejan los criterios establecidos en el compromiso segundo</w:t>
      </w:r>
      <w:r w:rsidR="00E32ACB" w:rsidRPr="00E32ACB">
        <w:rPr>
          <w:rFonts w:ascii="Arial" w:hAnsi="Arial" w:cs="Arial"/>
          <w:bCs/>
          <w:iCs/>
          <w:sz w:val="24"/>
        </w:rPr>
        <w:t xml:space="preserve"> aprobado por la citada </w:t>
      </w:r>
      <w:r w:rsidR="00E32ACB">
        <w:rPr>
          <w:rFonts w:ascii="Arial" w:hAnsi="Arial" w:cs="Arial"/>
          <w:bCs/>
          <w:iCs/>
          <w:sz w:val="24"/>
        </w:rPr>
        <w:t>r</w:t>
      </w:r>
      <w:r w:rsidR="00E32ACB" w:rsidRPr="00E32ACB">
        <w:rPr>
          <w:rFonts w:ascii="Arial" w:hAnsi="Arial" w:cs="Arial"/>
          <w:bCs/>
          <w:iCs/>
          <w:sz w:val="24"/>
        </w:rPr>
        <w:t xml:space="preserve">esolución del Consejo de la CNMC de 23 de marzo de 2021, que ya fueron aplicados en la </w:t>
      </w:r>
      <w:r w:rsidR="00E32ACB">
        <w:rPr>
          <w:rFonts w:ascii="Arial" w:hAnsi="Arial" w:cs="Arial"/>
          <w:bCs/>
          <w:iCs/>
          <w:sz w:val="24"/>
        </w:rPr>
        <w:t>r</w:t>
      </w:r>
      <w:r w:rsidR="00E32ACB" w:rsidRPr="00E32ACB">
        <w:rPr>
          <w:rFonts w:ascii="Arial" w:hAnsi="Arial" w:cs="Arial"/>
          <w:bCs/>
          <w:iCs/>
          <w:sz w:val="24"/>
        </w:rPr>
        <w:t>esolución del pasado 8 de junio de 2021 (en relación con los primeros borradores de comunicaciones presentados por CAIXABANK), como se procede a verificar a continuación y, en particular, la obligación de información sobre los siguientes extremos,</w:t>
      </w:r>
      <w:r w:rsidR="00E32ACB" w:rsidRPr="00E32ACB">
        <w:rPr>
          <w:rFonts w:ascii="Arial" w:hAnsi="Arial" w:cs="Arial"/>
          <w:i/>
          <w:sz w:val="24"/>
        </w:rPr>
        <w:t xml:space="preserve"> </w:t>
      </w:r>
      <w:r w:rsidR="00E32ACB" w:rsidRPr="00E32ACB">
        <w:rPr>
          <w:rFonts w:ascii="Arial" w:hAnsi="Arial" w:cs="Arial"/>
          <w:bCs/>
          <w:iCs/>
          <w:sz w:val="24"/>
        </w:rPr>
        <w:t>con carácter previo a su implementación:</w:t>
      </w:r>
    </w:p>
    <w:p w14:paraId="0E93229D" w14:textId="77777777" w:rsidR="00E32ACB" w:rsidRPr="00E32ACB" w:rsidRDefault="00E32ACB" w:rsidP="00E32ACB">
      <w:pPr>
        <w:numPr>
          <w:ilvl w:val="0"/>
          <w:numId w:val="30"/>
        </w:numPr>
        <w:spacing w:after="120" w:line="240" w:lineRule="auto"/>
        <w:ind w:left="851" w:hanging="284"/>
        <w:jc w:val="both"/>
        <w:rPr>
          <w:rFonts w:ascii="Arial" w:hAnsi="Arial" w:cs="Arial"/>
          <w:sz w:val="24"/>
        </w:rPr>
      </w:pPr>
      <w:r w:rsidRPr="00E32ACB">
        <w:rPr>
          <w:rFonts w:ascii="Arial" w:hAnsi="Arial" w:cs="Arial"/>
          <w:bCs/>
          <w:i/>
          <w:iCs/>
          <w:sz w:val="24"/>
        </w:rPr>
        <w:t>Las nuevas comisiones aplicables como resultado de una modificación de un producto o servicio con motivo de la Operación, junto con la información pertinente relativa a las comisiones aplicadas con anterioridad a dicho cambio</w:t>
      </w:r>
    </w:p>
    <w:p w14:paraId="44EAE813" w14:textId="7F0C4080" w:rsidR="00F22F6C" w:rsidRPr="00F22F6C" w:rsidRDefault="005942A8" w:rsidP="00F22F6C">
      <w:pPr>
        <w:spacing w:after="120" w:line="240" w:lineRule="auto"/>
        <w:ind w:left="851"/>
        <w:contextualSpacing/>
        <w:jc w:val="both"/>
        <w:rPr>
          <w:rFonts w:ascii="Arial" w:hAnsi="Arial" w:cs="Arial"/>
          <w:sz w:val="24"/>
        </w:rPr>
      </w:pPr>
      <w:r>
        <w:rPr>
          <w:rFonts w:ascii="Arial" w:hAnsi="Arial" w:cs="Arial"/>
          <w:sz w:val="24"/>
        </w:rPr>
        <w:t xml:space="preserve"> </w:t>
      </w:r>
    </w:p>
    <w:p w14:paraId="4D16A96A" w14:textId="031344BF"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 xml:space="preserve">Dependiendo del tipo de producto analizado, si bien en la mayoría de </w:t>
      </w:r>
      <w:r w:rsidR="00337F46" w:rsidRPr="00E32ACB">
        <w:rPr>
          <w:rFonts w:ascii="Arial" w:hAnsi="Arial" w:cs="Arial"/>
          <w:sz w:val="24"/>
        </w:rPr>
        <w:t>los supuestos</w:t>
      </w:r>
      <w:r w:rsidRPr="00E32ACB">
        <w:rPr>
          <w:rFonts w:ascii="Arial" w:hAnsi="Arial" w:cs="Arial"/>
          <w:sz w:val="24"/>
        </w:rPr>
        <w:t xml:space="preserve"> se trata de alteraciones principalmente derivadas de la adaptación operativa e integración tecnológica de los sistemas de las entidades fusionadas, el cambio de condiciones comunicadas puede o no implicar la aplicación de condiciones financieras diferentes.</w:t>
      </w:r>
    </w:p>
    <w:p w14:paraId="796E1AE6" w14:textId="77D13F10"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 xml:space="preserve">En particular, por lo que respecta a las comunicaciones relativas a la asignación de cuenta asociada (dentro de los servicios de Banca Privada), la necesidad de asignación automática al correspondiente producto de una cuenta corriente ya disponible por el </w:t>
      </w:r>
      <w:r w:rsidR="00337F46" w:rsidRPr="00E32ACB">
        <w:rPr>
          <w:rFonts w:ascii="Arial" w:hAnsi="Arial" w:cs="Arial"/>
          <w:sz w:val="24"/>
        </w:rPr>
        <w:t>cliente</w:t>
      </w:r>
      <w:r w:rsidRPr="00E32ACB">
        <w:rPr>
          <w:rFonts w:ascii="Arial" w:hAnsi="Arial" w:cs="Arial"/>
          <w:sz w:val="24"/>
        </w:rPr>
        <w:t xml:space="preserve"> no conlleva coste alguno para el cliente, como se indica en la propia comunicación</w:t>
      </w:r>
      <w:r w:rsidRPr="00E32ACB">
        <w:rPr>
          <w:rFonts w:ascii="Arial" w:hAnsi="Arial" w:cs="Arial"/>
          <w:sz w:val="24"/>
          <w:vertAlign w:val="superscript"/>
        </w:rPr>
        <w:footnoteReference w:id="5"/>
      </w:r>
      <w:r w:rsidRPr="00E32ACB">
        <w:rPr>
          <w:rFonts w:ascii="Arial" w:hAnsi="Arial" w:cs="Arial"/>
          <w:sz w:val="24"/>
        </w:rPr>
        <w:t>.</w:t>
      </w:r>
    </w:p>
    <w:p w14:paraId="100AF021" w14:textId="1F58810C"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lastRenderedPageBreak/>
        <w:t xml:space="preserve">Esta previsión se encuentra en línea con criterios establecidos por la referida </w:t>
      </w:r>
      <w:r w:rsidR="00AD4B8A">
        <w:rPr>
          <w:rFonts w:ascii="Arial" w:hAnsi="Arial" w:cs="Arial"/>
          <w:sz w:val="24"/>
        </w:rPr>
        <w:t>r</w:t>
      </w:r>
      <w:r w:rsidRPr="00E32ACB">
        <w:rPr>
          <w:rFonts w:ascii="Arial" w:hAnsi="Arial" w:cs="Arial"/>
          <w:sz w:val="24"/>
        </w:rPr>
        <w:t>esolución de 8 de junio de 2021 en relación con los cambios operados sobre los servicios de inversión, consistentes en la necesidad de apertura de una cuenta corriente por el titular del producto, como consecuencia de las normas de CAIXABANK.</w:t>
      </w:r>
    </w:p>
    <w:p w14:paraId="0EAADE29" w14:textId="77777777"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 xml:space="preserve">Por su parte, las comunicaciones que tienen por objeto informar de las nuevas condiciones aplicadas a la prestación de los servicios de TPV sí implican un cambio de las comisiones que se venían aplicando a los comercios que tenían contratados estos servicios con BANKIA y que, tras la cesión de </w:t>
      </w:r>
      <w:proofErr w:type="gramStart"/>
      <w:r w:rsidRPr="00E32ACB">
        <w:rPr>
          <w:rFonts w:ascii="Arial" w:hAnsi="Arial" w:cs="Arial"/>
          <w:sz w:val="24"/>
        </w:rPr>
        <w:t>los mismos</w:t>
      </w:r>
      <w:proofErr w:type="gramEnd"/>
      <w:r w:rsidRPr="00E32ACB">
        <w:rPr>
          <w:rFonts w:ascii="Arial" w:hAnsi="Arial" w:cs="Arial"/>
          <w:sz w:val="24"/>
        </w:rPr>
        <w:t xml:space="preserve"> a COMERCIA por CAIXABANK, pasará a ser prestado por esta última conforme a nuevas condiciones comerciales.</w:t>
      </w:r>
    </w:p>
    <w:p w14:paraId="4C1978E6" w14:textId="77777777"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En relación con esta cuestión y, con objeto de analizar la adecuación de la redacción de tales comunicados con la obligación reflejada en el presente apartado (esto es, que la comunicación recoja tanto las nuevas comisiones como las que se aplicaban con anterioridad a la modificación del producto), es necesario realizar las siguientes aclaraciones</w:t>
      </w:r>
      <w:r w:rsidRPr="00E32ACB">
        <w:rPr>
          <w:rFonts w:ascii="Arial" w:hAnsi="Arial" w:cs="Arial"/>
          <w:sz w:val="24"/>
          <w:vertAlign w:val="superscript"/>
        </w:rPr>
        <w:footnoteReference w:id="6"/>
      </w:r>
      <w:r w:rsidRPr="00E32ACB">
        <w:rPr>
          <w:rFonts w:ascii="Arial" w:hAnsi="Arial" w:cs="Arial"/>
          <w:sz w:val="24"/>
        </w:rPr>
        <w:t>, de manera individualizada para cada uno de los modelos anteriormente indicados:</w:t>
      </w:r>
    </w:p>
    <w:p w14:paraId="083FFDA1" w14:textId="77777777" w:rsidR="00E32ACB" w:rsidRPr="00E32ACB" w:rsidRDefault="00E32ACB" w:rsidP="00E32ACB">
      <w:pPr>
        <w:numPr>
          <w:ilvl w:val="0"/>
          <w:numId w:val="30"/>
        </w:numPr>
        <w:spacing w:after="120" w:line="240" w:lineRule="auto"/>
        <w:ind w:left="1135" w:hanging="284"/>
        <w:jc w:val="both"/>
        <w:rPr>
          <w:rFonts w:ascii="Arial" w:hAnsi="Arial" w:cs="Arial"/>
          <w:sz w:val="24"/>
        </w:rPr>
      </w:pPr>
      <w:r w:rsidRPr="00E32ACB">
        <w:rPr>
          <w:rFonts w:ascii="Arial" w:hAnsi="Arial" w:cs="Arial"/>
          <w:b/>
          <w:sz w:val="24"/>
          <w:u w:val="single"/>
        </w:rPr>
        <w:t>En el supuesto de los denominados “</w:t>
      </w:r>
      <w:r w:rsidRPr="00E32ACB">
        <w:rPr>
          <w:rFonts w:ascii="Arial" w:hAnsi="Arial" w:cs="Arial"/>
          <w:b/>
          <w:i/>
          <w:sz w:val="24"/>
          <w:u w:val="single"/>
        </w:rPr>
        <w:t>Comunicados GLOBAL</w:t>
      </w:r>
      <w:r w:rsidRPr="00E32ACB">
        <w:rPr>
          <w:rFonts w:ascii="Arial" w:hAnsi="Arial" w:cs="Arial"/>
          <w:b/>
          <w:sz w:val="24"/>
          <w:u w:val="single"/>
        </w:rPr>
        <w:t xml:space="preserve">” (clientes </w:t>
      </w:r>
      <w:bookmarkStart w:id="4" w:name="_Hlk76388804"/>
      <w:r w:rsidRPr="00E32ACB">
        <w:rPr>
          <w:rFonts w:ascii="Arial" w:hAnsi="Arial" w:cs="Arial"/>
          <w:b/>
          <w:sz w:val="24"/>
          <w:u w:val="single"/>
        </w:rPr>
        <w:t xml:space="preserve">que provienen de servicios de TPV suministrados únicamente por BANKIA, no ubicados en uno de los referidos 21 </w:t>
      </w:r>
      <w:proofErr w:type="spellStart"/>
      <w:r w:rsidRPr="00E32ACB">
        <w:rPr>
          <w:rFonts w:ascii="Arial" w:hAnsi="Arial" w:cs="Arial"/>
          <w:b/>
          <w:sz w:val="24"/>
          <w:u w:val="single"/>
        </w:rPr>
        <w:t>CPs</w:t>
      </w:r>
      <w:bookmarkEnd w:id="4"/>
      <w:proofErr w:type="spellEnd"/>
      <w:r w:rsidRPr="00E32ACB">
        <w:rPr>
          <w:rFonts w:ascii="Arial" w:hAnsi="Arial" w:cs="Arial"/>
          <w:b/>
          <w:sz w:val="24"/>
          <w:u w:val="single"/>
        </w:rPr>
        <w:t xml:space="preserve">), </w:t>
      </w:r>
      <w:r w:rsidRPr="00E32ACB">
        <w:rPr>
          <w:rFonts w:ascii="Arial" w:hAnsi="Arial" w:cs="Arial"/>
          <w:sz w:val="24"/>
        </w:rPr>
        <w:t>CAIXABANK incorpora un apartado en el que, para cada tipo de tarifa que el cliente tiene contratada, se facilita un cuadro comparativo entre las condiciones actuales contratadas con BANKIA y las que se aplicarán por COMERCIA.</w:t>
      </w:r>
    </w:p>
    <w:p w14:paraId="19F1B673" w14:textId="77777777" w:rsidR="00E32ACB" w:rsidRPr="00E32ACB" w:rsidRDefault="00E32ACB" w:rsidP="00E32ACB">
      <w:pPr>
        <w:spacing w:after="120" w:line="240" w:lineRule="auto"/>
        <w:ind w:left="1135"/>
        <w:jc w:val="both"/>
        <w:rPr>
          <w:rFonts w:ascii="Arial" w:hAnsi="Arial" w:cs="Arial"/>
          <w:sz w:val="24"/>
        </w:rPr>
      </w:pPr>
      <w:r w:rsidRPr="00E32ACB">
        <w:rPr>
          <w:rFonts w:ascii="Arial" w:hAnsi="Arial" w:cs="Arial"/>
          <w:sz w:val="24"/>
        </w:rPr>
        <w:t>Asimismo, la misma comparativa se establece en relación con los servicios contratados por cada comercio, indicando expresamente las condiciones BANKIA y las nuevas condiciones COMERCIA para cada uno de los servicios.</w:t>
      </w:r>
    </w:p>
    <w:p w14:paraId="68F10CA7" w14:textId="77777777" w:rsidR="00E32ACB" w:rsidRPr="00E32ACB" w:rsidRDefault="00E32ACB" w:rsidP="00E32ACB">
      <w:pPr>
        <w:numPr>
          <w:ilvl w:val="0"/>
          <w:numId w:val="30"/>
        </w:numPr>
        <w:spacing w:after="120" w:line="240" w:lineRule="auto"/>
        <w:ind w:left="1135" w:hanging="284"/>
        <w:jc w:val="both"/>
        <w:rPr>
          <w:rFonts w:ascii="Arial" w:hAnsi="Arial" w:cs="Arial"/>
          <w:sz w:val="24"/>
        </w:rPr>
      </w:pPr>
      <w:r w:rsidRPr="00E32ACB">
        <w:rPr>
          <w:rFonts w:ascii="Arial" w:hAnsi="Arial" w:cs="Arial"/>
          <w:b/>
          <w:sz w:val="24"/>
          <w:u w:val="single"/>
        </w:rPr>
        <w:t>Por lo que se refiere a los denominados “</w:t>
      </w:r>
      <w:r w:rsidRPr="00E32ACB">
        <w:rPr>
          <w:rFonts w:ascii="Arial" w:hAnsi="Arial" w:cs="Arial"/>
          <w:b/>
          <w:i/>
          <w:sz w:val="24"/>
          <w:u w:val="single"/>
        </w:rPr>
        <w:t>Comunicados Anexo A</w:t>
      </w:r>
      <w:r w:rsidRPr="00E32ACB">
        <w:rPr>
          <w:rFonts w:ascii="Arial" w:hAnsi="Arial" w:cs="Arial"/>
          <w:b/>
          <w:sz w:val="24"/>
          <w:u w:val="single"/>
        </w:rPr>
        <w:t xml:space="preserve">” (clientes que provienen de servicios de TPV suministrados únicamente por BANKIA, ubicados en uno de los referidos 21 </w:t>
      </w:r>
      <w:proofErr w:type="spellStart"/>
      <w:r w:rsidRPr="00E32ACB">
        <w:rPr>
          <w:rFonts w:ascii="Arial" w:hAnsi="Arial" w:cs="Arial"/>
          <w:b/>
          <w:sz w:val="24"/>
          <w:u w:val="single"/>
        </w:rPr>
        <w:t>CPs</w:t>
      </w:r>
      <w:proofErr w:type="spellEnd"/>
      <w:r w:rsidRPr="00E32ACB">
        <w:rPr>
          <w:rFonts w:ascii="Arial" w:hAnsi="Arial" w:cs="Arial"/>
          <w:b/>
          <w:sz w:val="24"/>
          <w:u w:val="single"/>
        </w:rPr>
        <w:t>)</w:t>
      </w:r>
      <w:r w:rsidRPr="00E32ACB">
        <w:rPr>
          <w:rFonts w:ascii="Arial" w:hAnsi="Arial" w:cs="Arial"/>
          <w:sz w:val="24"/>
        </w:rPr>
        <w:t xml:space="preserve">, mantienen la misma estructura que el modelo de comunicaciones anterior. Esto es, se facilita al cliente una tabla comparativa entre las condiciones de BANKIA y las nuevas condiciones que aplicará </w:t>
      </w:r>
      <w:r w:rsidRPr="00E32ACB">
        <w:rPr>
          <w:rFonts w:ascii="Arial" w:hAnsi="Arial" w:cs="Arial"/>
          <w:sz w:val="24"/>
        </w:rPr>
        <w:lastRenderedPageBreak/>
        <w:t>COMERCIA en la fecha prevista para ello (siempre y cuando la CNMC autorice la operación referida).</w:t>
      </w:r>
    </w:p>
    <w:p w14:paraId="027F4953" w14:textId="77777777" w:rsidR="00E32ACB" w:rsidRPr="00E32ACB" w:rsidRDefault="00E32ACB" w:rsidP="00E32ACB">
      <w:pPr>
        <w:spacing w:after="120" w:line="240" w:lineRule="auto"/>
        <w:ind w:left="1135"/>
        <w:jc w:val="both"/>
        <w:rPr>
          <w:rFonts w:ascii="Arial" w:hAnsi="Arial" w:cs="Arial"/>
          <w:sz w:val="24"/>
        </w:rPr>
      </w:pPr>
      <w:r w:rsidRPr="00E32ACB">
        <w:rPr>
          <w:rFonts w:ascii="Arial" w:hAnsi="Arial" w:cs="Arial"/>
          <w:sz w:val="24"/>
        </w:rPr>
        <w:t xml:space="preserve">En todo caso, según CAIXABANK, la comparativa de condiciones de BANKIA a COMERCIA determinará en todo caso un </w:t>
      </w:r>
      <w:r w:rsidRPr="00E32ACB">
        <w:rPr>
          <w:rFonts w:ascii="Arial" w:hAnsi="Arial" w:cs="Arial"/>
          <w:sz w:val="24"/>
          <w:u w:val="single"/>
        </w:rPr>
        <w:t xml:space="preserve">mantenimiento o mejora de </w:t>
      </w:r>
      <w:proofErr w:type="gramStart"/>
      <w:r w:rsidRPr="00E32ACB">
        <w:rPr>
          <w:rFonts w:ascii="Arial" w:hAnsi="Arial" w:cs="Arial"/>
          <w:sz w:val="24"/>
          <w:u w:val="single"/>
        </w:rPr>
        <w:t>las mismas</w:t>
      </w:r>
      <w:proofErr w:type="gramEnd"/>
      <w:r w:rsidRPr="00E32ACB">
        <w:rPr>
          <w:rFonts w:ascii="Arial" w:hAnsi="Arial" w:cs="Arial"/>
          <w:sz w:val="24"/>
        </w:rPr>
        <w:t>. A tales efectos, CAIXABANK ha realizado un análisis de las condiciones de cada tipología de tarifas en origen (BANKIA) y se han mantenido o mejorado en destino (COMERCIA), tarifa por tarifa. Esto aseguraría, a juicio de esta entidad financiera, que las nuevas condiciones serán en todo caso iguales o mejores a las que tenía en BANKIA.</w:t>
      </w:r>
    </w:p>
    <w:p w14:paraId="682CA2C8" w14:textId="77777777" w:rsidR="00E32ACB" w:rsidRPr="00E32ACB" w:rsidRDefault="00E32ACB" w:rsidP="00E32ACB">
      <w:pPr>
        <w:spacing w:after="120" w:line="240" w:lineRule="auto"/>
        <w:ind w:left="1135"/>
        <w:jc w:val="both"/>
        <w:rPr>
          <w:rFonts w:ascii="Arial" w:hAnsi="Arial" w:cs="Arial"/>
          <w:sz w:val="24"/>
        </w:rPr>
      </w:pPr>
      <w:bookmarkStart w:id="5" w:name="_Hlk76457968"/>
      <w:r w:rsidRPr="00E32ACB">
        <w:rPr>
          <w:rFonts w:ascii="Arial" w:hAnsi="Arial" w:cs="Arial"/>
          <w:sz w:val="24"/>
        </w:rPr>
        <w:t>A pesar de lo anterior, este modelo de comunicaciones incorpora una cláusula mediante la que se ofrece al cliente la posibilidad de dirigirse a su gestor comercial por si considerase que el cambio produce algún perjuicio respecto de las tarifas anteriores, comprometiéndose, en ese caso, a asegurar que se le mantienen o, en su defecto mejoran, las condiciones anteriores con efectos retroactivos</w:t>
      </w:r>
      <w:bookmarkEnd w:id="5"/>
      <w:r w:rsidRPr="00E32ACB">
        <w:rPr>
          <w:rFonts w:ascii="Arial" w:hAnsi="Arial" w:cs="Arial"/>
          <w:sz w:val="24"/>
          <w:vertAlign w:val="superscript"/>
        </w:rPr>
        <w:footnoteReference w:id="7"/>
      </w:r>
      <w:r w:rsidRPr="00E32ACB">
        <w:rPr>
          <w:rFonts w:ascii="Arial" w:hAnsi="Arial" w:cs="Arial"/>
          <w:sz w:val="24"/>
        </w:rPr>
        <w:t>.</w:t>
      </w:r>
    </w:p>
    <w:p w14:paraId="136DC441" w14:textId="677A559B" w:rsidR="00E32ACB" w:rsidRPr="00E32ACB" w:rsidRDefault="00E32ACB" w:rsidP="00E32ACB">
      <w:pPr>
        <w:spacing w:after="120" w:line="240" w:lineRule="auto"/>
        <w:ind w:left="1134"/>
        <w:jc w:val="both"/>
        <w:rPr>
          <w:rFonts w:ascii="Arial" w:hAnsi="Arial" w:cs="Arial"/>
          <w:sz w:val="24"/>
        </w:rPr>
      </w:pPr>
      <w:r w:rsidRPr="00E32ACB">
        <w:rPr>
          <w:rFonts w:ascii="Arial" w:hAnsi="Arial" w:cs="Arial"/>
          <w:sz w:val="24"/>
        </w:rPr>
        <w:t xml:space="preserve">A tales efectos, CAIXABANK explica que se creará un canal directo entre Finanzas y Negocio y esas oficinas de los </w:t>
      </w:r>
      <w:proofErr w:type="spellStart"/>
      <w:r w:rsidRPr="00E32ACB">
        <w:rPr>
          <w:rFonts w:ascii="Arial" w:hAnsi="Arial" w:cs="Arial"/>
          <w:sz w:val="24"/>
        </w:rPr>
        <w:t>CPs</w:t>
      </w:r>
      <w:proofErr w:type="spellEnd"/>
      <w:r w:rsidRPr="00E32ACB">
        <w:rPr>
          <w:rFonts w:ascii="Arial" w:hAnsi="Arial" w:cs="Arial"/>
          <w:sz w:val="24"/>
        </w:rPr>
        <w:t xml:space="preserve"> para ofrecer esa facilidad a los clientes afectados</w:t>
      </w:r>
      <w:r w:rsidR="00C67C4A">
        <w:rPr>
          <w:rFonts w:ascii="Arial" w:hAnsi="Arial" w:cs="Arial"/>
          <w:sz w:val="24"/>
        </w:rPr>
        <w:t xml:space="preserve"> (f</w:t>
      </w:r>
      <w:r w:rsidR="00C67C4A" w:rsidRPr="00C67C4A">
        <w:rPr>
          <w:rFonts w:ascii="Arial" w:hAnsi="Arial" w:cs="Arial"/>
          <w:sz w:val="24"/>
        </w:rPr>
        <w:t>olio 474</w:t>
      </w:r>
      <w:r w:rsidR="00C67C4A">
        <w:rPr>
          <w:rFonts w:ascii="Arial" w:hAnsi="Arial" w:cs="Arial"/>
          <w:sz w:val="24"/>
        </w:rPr>
        <w:t>)</w:t>
      </w:r>
      <w:r w:rsidRPr="00E32ACB">
        <w:rPr>
          <w:rFonts w:ascii="Arial" w:hAnsi="Arial" w:cs="Arial"/>
          <w:sz w:val="24"/>
        </w:rPr>
        <w:t>.</w:t>
      </w:r>
    </w:p>
    <w:p w14:paraId="750EA3D0" w14:textId="77777777" w:rsidR="00E32ACB" w:rsidRPr="00E32ACB" w:rsidRDefault="00E32ACB" w:rsidP="00E32ACB">
      <w:pPr>
        <w:spacing w:after="120" w:line="240" w:lineRule="auto"/>
        <w:ind w:left="1135"/>
        <w:jc w:val="both"/>
        <w:rPr>
          <w:rFonts w:ascii="Arial" w:hAnsi="Arial" w:cs="Arial"/>
          <w:sz w:val="24"/>
        </w:rPr>
      </w:pPr>
      <w:r w:rsidRPr="00E32ACB">
        <w:rPr>
          <w:rFonts w:ascii="Arial" w:hAnsi="Arial" w:cs="Arial"/>
          <w:sz w:val="24"/>
        </w:rPr>
        <w:t xml:space="preserve">Por su parte, en la tabla comparativa de servicios, algunos de los incluidos en el anterior modelo de comunicación no aparecen en este comunicado para clientes de los 21 </w:t>
      </w:r>
      <w:proofErr w:type="spellStart"/>
      <w:r w:rsidRPr="00E32ACB">
        <w:rPr>
          <w:rFonts w:ascii="Arial" w:hAnsi="Arial" w:cs="Arial"/>
          <w:sz w:val="24"/>
        </w:rPr>
        <w:t>CPs</w:t>
      </w:r>
      <w:proofErr w:type="spellEnd"/>
      <w:r w:rsidRPr="00E32ACB">
        <w:rPr>
          <w:rFonts w:ascii="Arial" w:hAnsi="Arial" w:cs="Arial"/>
          <w:sz w:val="24"/>
          <w:vertAlign w:val="superscript"/>
        </w:rPr>
        <w:footnoteReference w:id="8"/>
      </w:r>
      <w:r w:rsidRPr="00E32ACB">
        <w:rPr>
          <w:rFonts w:ascii="Arial" w:hAnsi="Arial" w:cs="Arial"/>
          <w:sz w:val="24"/>
        </w:rPr>
        <w:t>, dado que se mantienen las mismas condiciones ofrecidas por BANKIA, al ser mejores que las que aplica COMERCIA a sus clientes, sin que, en este caso, haya ningún cambio que comunicar.</w:t>
      </w:r>
    </w:p>
    <w:p w14:paraId="4DAF573A" w14:textId="77777777" w:rsidR="00E32ACB" w:rsidRPr="00E32ACB" w:rsidRDefault="00E32ACB" w:rsidP="00E32ACB">
      <w:pPr>
        <w:numPr>
          <w:ilvl w:val="0"/>
          <w:numId w:val="30"/>
        </w:numPr>
        <w:spacing w:after="120" w:line="240" w:lineRule="auto"/>
        <w:ind w:left="1135" w:hanging="284"/>
        <w:jc w:val="both"/>
        <w:rPr>
          <w:rFonts w:ascii="Arial" w:hAnsi="Arial" w:cs="Arial"/>
          <w:sz w:val="24"/>
        </w:rPr>
      </w:pPr>
      <w:r w:rsidRPr="00E32ACB">
        <w:rPr>
          <w:rFonts w:ascii="Arial" w:hAnsi="Arial" w:cs="Arial"/>
          <w:b/>
          <w:sz w:val="24"/>
          <w:u w:val="single"/>
        </w:rPr>
        <w:t xml:space="preserve">En el supuesto de los </w:t>
      </w:r>
      <w:bookmarkStart w:id="6" w:name="_Hlk76555735"/>
      <w:r w:rsidRPr="00E32ACB">
        <w:rPr>
          <w:rFonts w:ascii="Arial" w:hAnsi="Arial" w:cs="Arial"/>
          <w:b/>
          <w:sz w:val="24"/>
          <w:u w:val="single"/>
        </w:rPr>
        <w:t>“</w:t>
      </w:r>
      <w:r w:rsidRPr="00E32ACB">
        <w:rPr>
          <w:rFonts w:ascii="Arial" w:hAnsi="Arial" w:cs="Arial"/>
          <w:b/>
          <w:i/>
          <w:sz w:val="24"/>
          <w:u w:val="single"/>
        </w:rPr>
        <w:t>Comunicados Clientes Compartidos GLOBAL</w:t>
      </w:r>
      <w:r w:rsidRPr="00E32ACB">
        <w:rPr>
          <w:rFonts w:ascii="Arial" w:hAnsi="Arial" w:cs="Arial"/>
          <w:b/>
          <w:sz w:val="24"/>
          <w:u w:val="single"/>
        </w:rPr>
        <w:t xml:space="preserve"> </w:t>
      </w:r>
      <w:bookmarkEnd w:id="6"/>
      <w:r w:rsidRPr="00E32ACB">
        <w:rPr>
          <w:rFonts w:ascii="Arial" w:hAnsi="Arial" w:cs="Arial"/>
          <w:b/>
          <w:sz w:val="24"/>
          <w:u w:val="single"/>
        </w:rPr>
        <w:t xml:space="preserve">(clientes con servicios de TPV simultáneamente suministrados por BANKIA y COMERCIA, sin que se encuentren en uno de los referidos </w:t>
      </w:r>
      <w:proofErr w:type="spellStart"/>
      <w:r w:rsidRPr="00E32ACB">
        <w:rPr>
          <w:rFonts w:ascii="Arial" w:hAnsi="Arial" w:cs="Arial"/>
          <w:b/>
          <w:sz w:val="24"/>
          <w:u w:val="single"/>
        </w:rPr>
        <w:t>CPs</w:t>
      </w:r>
      <w:proofErr w:type="spellEnd"/>
      <w:r w:rsidRPr="00E32ACB">
        <w:rPr>
          <w:rFonts w:ascii="Arial" w:hAnsi="Arial" w:cs="Arial"/>
          <w:b/>
          <w:sz w:val="24"/>
          <w:u w:val="single"/>
        </w:rPr>
        <w:t>)</w:t>
      </w:r>
      <w:r w:rsidRPr="00E32ACB">
        <w:rPr>
          <w:rFonts w:ascii="Arial" w:hAnsi="Arial" w:cs="Arial"/>
          <w:sz w:val="24"/>
        </w:rPr>
        <w:t>, es necesario homogeneizar las condiciones económicas aplicadas al cliente, dado que éstas se determinan a nivel de cada comercio.</w:t>
      </w:r>
    </w:p>
    <w:p w14:paraId="5AB21EDD" w14:textId="77777777" w:rsidR="00E32ACB" w:rsidRPr="00E32ACB" w:rsidRDefault="00E32ACB" w:rsidP="00E32ACB">
      <w:pPr>
        <w:spacing w:after="120" w:line="240" w:lineRule="auto"/>
        <w:ind w:left="1135"/>
        <w:jc w:val="both"/>
        <w:rPr>
          <w:rFonts w:ascii="Arial" w:hAnsi="Arial" w:cs="Arial"/>
          <w:sz w:val="24"/>
        </w:rPr>
      </w:pPr>
      <w:r w:rsidRPr="00E32ACB">
        <w:rPr>
          <w:rFonts w:ascii="Arial" w:hAnsi="Arial" w:cs="Arial"/>
          <w:sz w:val="24"/>
        </w:rPr>
        <w:t xml:space="preserve">Según CAIXABANK, con objeto de llevar a cabo esa homogeneización, se han valorado varios criterios indicadores de la vinculación del cliente </w:t>
      </w:r>
      <w:r w:rsidRPr="00E32ACB">
        <w:rPr>
          <w:rFonts w:ascii="Arial" w:hAnsi="Arial" w:cs="Arial"/>
          <w:sz w:val="24"/>
        </w:rPr>
        <w:lastRenderedPageBreak/>
        <w:t>con una y otra entidad. Por ejemplo, el volumen de facturación, el volumen de operaciones procesadas o el número de TPV instalados.</w:t>
      </w:r>
    </w:p>
    <w:p w14:paraId="7E56F978" w14:textId="77777777" w:rsidR="00E32ACB" w:rsidRPr="00E32ACB" w:rsidRDefault="00E32ACB" w:rsidP="00E32ACB">
      <w:pPr>
        <w:spacing w:after="120" w:line="240" w:lineRule="auto"/>
        <w:ind w:left="1135"/>
        <w:jc w:val="both"/>
        <w:rPr>
          <w:rFonts w:ascii="Arial" w:hAnsi="Arial" w:cs="Arial"/>
          <w:sz w:val="24"/>
        </w:rPr>
      </w:pPr>
      <w:r w:rsidRPr="00E32ACB">
        <w:rPr>
          <w:rFonts w:ascii="Arial" w:hAnsi="Arial" w:cs="Arial"/>
          <w:sz w:val="24"/>
        </w:rPr>
        <w:t xml:space="preserve">El objetivo de este análisis es tratar de mantener las condiciones más similares posibles a las de la entidad con la que el cliente tuviera mayor vinculación en el servicio de </w:t>
      </w:r>
      <w:proofErr w:type="spellStart"/>
      <w:r w:rsidRPr="00E32ACB">
        <w:rPr>
          <w:rFonts w:ascii="Arial" w:hAnsi="Arial" w:cs="Arial"/>
          <w:sz w:val="24"/>
        </w:rPr>
        <w:t>TPVs</w:t>
      </w:r>
      <w:proofErr w:type="spellEnd"/>
      <w:r w:rsidRPr="00E32ACB">
        <w:rPr>
          <w:rFonts w:ascii="Arial" w:hAnsi="Arial" w:cs="Arial"/>
          <w:sz w:val="24"/>
        </w:rPr>
        <w:t>.</w:t>
      </w:r>
    </w:p>
    <w:p w14:paraId="39D40068" w14:textId="1BE61932" w:rsidR="0096533D" w:rsidRPr="00E32ACB" w:rsidRDefault="00E32ACB" w:rsidP="00E32ACB">
      <w:pPr>
        <w:spacing w:after="120" w:line="240" w:lineRule="auto"/>
        <w:ind w:left="1135"/>
        <w:jc w:val="both"/>
        <w:rPr>
          <w:rFonts w:ascii="Arial" w:hAnsi="Arial" w:cs="Arial"/>
          <w:sz w:val="24"/>
          <w:szCs w:val="24"/>
        </w:rPr>
      </w:pPr>
      <w:r w:rsidRPr="00E32ACB">
        <w:rPr>
          <w:rFonts w:ascii="Arial" w:hAnsi="Arial" w:cs="Arial"/>
          <w:sz w:val="24"/>
        </w:rPr>
        <w:t xml:space="preserve">En consecuencia, las condiciones finalmente aplicadas al cliente dependerán de si, en virtud </w:t>
      </w:r>
      <w:proofErr w:type="gramStart"/>
      <w:r w:rsidRPr="00E32ACB">
        <w:rPr>
          <w:rFonts w:ascii="Arial" w:hAnsi="Arial" w:cs="Arial"/>
          <w:sz w:val="24"/>
        </w:rPr>
        <w:t>del mismo</w:t>
      </w:r>
      <w:proofErr w:type="gramEnd"/>
      <w:r w:rsidRPr="00E32ACB">
        <w:rPr>
          <w:rFonts w:ascii="Arial" w:hAnsi="Arial" w:cs="Arial"/>
          <w:sz w:val="24"/>
        </w:rPr>
        <w:t xml:space="preserve">, se concluye que el cliente tiene </w:t>
      </w:r>
      <w:r w:rsidRPr="00E32ACB">
        <w:rPr>
          <w:rFonts w:ascii="Arial" w:hAnsi="Arial" w:cs="Arial"/>
          <w:i/>
          <w:sz w:val="24"/>
        </w:rPr>
        <w:t>(i)</w:t>
      </w:r>
      <w:r w:rsidRPr="00E32ACB">
        <w:rPr>
          <w:rFonts w:ascii="Arial" w:hAnsi="Arial" w:cs="Arial"/>
          <w:sz w:val="24"/>
        </w:rPr>
        <w:t xml:space="preserve"> mayor vinculación con COMERCIA o </w:t>
      </w:r>
      <w:r w:rsidRPr="00E32ACB">
        <w:rPr>
          <w:rFonts w:ascii="Arial" w:hAnsi="Arial" w:cs="Arial"/>
          <w:i/>
          <w:sz w:val="24"/>
        </w:rPr>
        <w:t>(</w:t>
      </w:r>
      <w:proofErr w:type="spellStart"/>
      <w:r w:rsidRPr="00E32ACB">
        <w:rPr>
          <w:rFonts w:ascii="Arial" w:hAnsi="Arial" w:cs="Arial"/>
          <w:i/>
          <w:sz w:val="24"/>
        </w:rPr>
        <w:t>ii</w:t>
      </w:r>
      <w:proofErr w:type="spellEnd"/>
      <w:r w:rsidRPr="00E32ACB">
        <w:rPr>
          <w:rFonts w:ascii="Arial" w:hAnsi="Arial" w:cs="Arial"/>
          <w:i/>
          <w:sz w:val="24"/>
        </w:rPr>
        <w:t>)</w:t>
      </w:r>
      <w:r w:rsidRPr="00E32ACB">
        <w:rPr>
          <w:rFonts w:ascii="Arial" w:hAnsi="Arial" w:cs="Arial"/>
          <w:sz w:val="24"/>
        </w:rPr>
        <w:t xml:space="preserve"> con </w:t>
      </w:r>
      <w:r w:rsidRPr="00E32ACB">
        <w:rPr>
          <w:rFonts w:ascii="Arial" w:hAnsi="Arial" w:cs="Arial"/>
          <w:sz w:val="24"/>
          <w:szCs w:val="24"/>
        </w:rPr>
        <w:t>BANKIA</w:t>
      </w:r>
      <w:r w:rsidR="00F86838" w:rsidRPr="00F86838">
        <w:rPr>
          <w:rFonts w:ascii="Arial" w:hAnsi="Arial" w:cs="Arial"/>
          <w:sz w:val="24"/>
          <w:szCs w:val="24"/>
        </w:rPr>
        <w:t xml:space="preserve"> (folios 474 a 475)</w:t>
      </w:r>
      <w:r w:rsidRPr="00E32ACB">
        <w:rPr>
          <w:rFonts w:ascii="Arial" w:hAnsi="Arial" w:cs="Arial"/>
          <w:sz w:val="24"/>
          <w:szCs w:val="24"/>
        </w:rPr>
        <w:t>:</w:t>
      </w:r>
    </w:p>
    <w:p w14:paraId="3E4B8E2B" w14:textId="77777777" w:rsidR="00E32ACB" w:rsidRPr="00E32ACB" w:rsidRDefault="00E32ACB" w:rsidP="00E32ACB">
      <w:pPr>
        <w:numPr>
          <w:ilvl w:val="0"/>
          <w:numId w:val="36"/>
        </w:numPr>
        <w:spacing w:after="120" w:line="240" w:lineRule="auto"/>
        <w:ind w:left="1418" w:hanging="284"/>
        <w:jc w:val="both"/>
        <w:rPr>
          <w:rFonts w:ascii="Arial" w:hAnsi="Arial" w:cs="Arial"/>
          <w:sz w:val="24"/>
        </w:rPr>
      </w:pPr>
      <w:r w:rsidRPr="00E32ACB">
        <w:rPr>
          <w:rFonts w:ascii="Arial" w:hAnsi="Arial" w:cs="Arial"/>
          <w:b/>
          <w:i/>
          <w:sz w:val="24"/>
          <w:u w:val="single"/>
        </w:rPr>
        <w:t>En caso de una mayor vinculación con COMERCIA</w:t>
      </w:r>
      <w:r w:rsidRPr="00E32ACB">
        <w:rPr>
          <w:rFonts w:ascii="Arial" w:hAnsi="Arial" w:cs="Arial"/>
          <w:sz w:val="24"/>
        </w:rPr>
        <w:t>:</w:t>
      </w:r>
    </w:p>
    <w:p w14:paraId="7399CC1A" w14:textId="77777777" w:rsidR="00E32ACB" w:rsidRPr="00E32ACB" w:rsidRDefault="00E32ACB" w:rsidP="00E32ACB">
      <w:pPr>
        <w:spacing w:after="120" w:line="240" w:lineRule="auto"/>
        <w:ind w:left="1134"/>
        <w:jc w:val="both"/>
        <w:rPr>
          <w:rFonts w:ascii="Arial" w:eastAsia="Times New Roman" w:hAnsi="Arial" w:cs="Arial"/>
          <w:sz w:val="24"/>
          <w:szCs w:val="24"/>
          <w:lang w:eastAsia="es-ES"/>
        </w:rPr>
      </w:pPr>
      <w:r w:rsidRPr="00E32ACB">
        <w:rPr>
          <w:rFonts w:ascii="Arial" w:eastAsia="Times New Roman" w:hAnsi="Arial" w:cs="Arial"/>
          <w:sz w:val="24"/>
          <w:szCs w:val="24"/>
          <w:lang w:eastAsia="es-ES"/>
        </w:rPr>
        <w:t xml:space="preserve">CAIXABANK aplicará a todos los </w:t>
      </w:r>
      <w:proofErr w:type="spellStart"/>
      <w:r w:rsidRPr="00E32ACB">
        <w:rPr>
          <w:rFonts w:ascii="Arial" w:eastAsia="Times New Roman" w:hAnsi="Arial" w:cs="Arial"/>
          <w:sz w:val="24"/>
          <w:szCs w:val="24"/>
          <w:lang w:eastAsia="es-ES"/>
        </w:rPr>
        <w:t>TPVs</w:t>
      </w:r>
      <w:proofErr w:type="spellEnd"/>
      <w:r w:rsidRPr="00E32ACB">
        <w:rPr>
          <w:rFonts w:ascii="Arial" w:eastAsia="Times New Roman" w:hAnsi="Arial" w:cs="Arial"/>
          <w:sz w:val="24"/>
          <w:szCs w:val="24"/>
          <w:lang w:eastAsia="es-ES"/>
        </w:rPr>
        <w:t xml:space="preserve"> del cliente, tanto los contratados con BANKIA como con COMERCIA, las mismas condiciones contratadas con la segunda (COMERCIA).</w:t>
      </w:r>
    </w:p>
    <w:p w14:paraId="6E380265" w14:textId="77777777" w:rsidR="00E32ACB" w:rsidRPr="00E32ACB" w:rsidRDefault="00E32ACB" w:rsidP="00E32ACB">
      <w:pPr>
        <w:spacing w:after="120" w:line="240" w:lineRule="auto"/>
        <w:ind w:left="1134"/>
        <w:jc w:val="both"/>
        <w:rPr>
          <w:rFonts w:ascii="Arial" w:eastAsia="Times New Roman" w:hAnsi="Arial" w:cs="Arial"/>
          <w:sz w:val="24"/>
          <w:szCs w:val="24"/>
          <w:lang w:eastAsia="es-ES"/>
        </w:rPr>
      </w:pPr>
      <w:r w:rsidRPr="00E32ACB">
        <w:rPr>
          <w:rFonts w:ascii="Arial" w:eastAsia="Times New Roman" w:hAnsi="Arial" w:cs="Arial"/>
          <w:sz w:val="24"/>
          <w:szCs w:val="24"/>
          <w:lang w:eastAsia="es-ES"/>
        </w:rPr>
        <w:t>En este caso, según CAIXABANK, no es posible mostrar en el comunicado las condiciones económicas concretas de COMERCIA que se aplicarán al cliente a partir de la Fecha de Efectos, por lo que no se contiene una tabla comparativa entre las tarifas aplicadas por BANKIA y las que aplicará COMERCIA.</w:t>
      </w:r>
    </w:p>
    <w:p w14:paraId="75C0CDC1" w14:textId="244BE700" w:rsidR="00E32ACB" w:rsidRPr="00E32ACB" w:rsidRDefault="00E32ACB" w:rsidP="00E32ACB">
      <w:pPr>
        <w:spacing w:after="120" w:line="240" w:lineRule="auto"/>
        <w:ind w:left="1134"/>
        <w:jc w:val="both"/>
        <w:rPr>
          <w:rFonts w:ascii="Arial" w:eastAsia="Times New Roman" w:hAnsi="Arial" w:cs="Arial"/>
          <w:sz w:val="24"/>
          <w:szCs w:val="24"/>
          <w:lang w:eastAsia="es-ES"/>
        </w:rPr>
      </w:pPr>
      <w:r w:rsidRPr="00E32ACB">
        <w:rPr>
          <w:rFonts w:ascii="Arial" w:eastAsia="Times New Roman" w:hAnsi="Arial" w:cs="Arial"/>
          <w:sz w:val="24"/>
          <w:szCs w:val="24"/>
          <w:lang w:eastAsia="es-ES"/>
        </w:rPr>
        <w:t xml:space="preserve">En su lugar, se informa al cliente de que le van a aplicar las condiciones económicas de COMERCIA, las cuales ya conoce y que están a su disposición en su oficina correspondiente de CAIXABANK, así como a través de Banca Digital, indicándose expresamente los pasos a seguir o ruta donde puede consultarlas, además de en la regulación contenida en el contrato del cliente con la citada entidad gestora del servicio de </w:t>
      </w:r>
      <w:proofErr w:type="spellStart"/>
      <w:r w:rsidRPr="00E32ACB">
        <w:rPr>
          <w:rFonts w:ascii="Arial" w:eastAsia="Times New Roman" w:hAnsi="Arial" w:cs="Arial"/>
          <w:sz w:val="24"/>
          <w:szCs w:val="24"/>
          <w:lang w:eastAsia="es-ES"/>
        </w:rPr>
        <w:t>TPVs</w:t>
      </w:r>
      <w:proofErr w:type="spellEnd"/>
      <w:r w:rsidR="000618B1">
        <w:rPr>
          <w:rFonts w:ascii="Arial" w:eastAsia="Times New Roman" w:hAnsi="Arial" w:cs="Arial"/>
          <w:sz w:val="24"/>
          <w:szCs w:val="24"/>
          <w:lang w:eastAsia="es-ES"/>
        </w:rPr>
        <w:t xml:space="preserve"> (f</w:t>
      </w:r>
      <w:r w:rsidR="000618B1" w:rsidRPr="000618B1">
        <w:rPr>
          <w:rFonts w:ascii="Arial" w:eastAsia="Times New Roman" w:hAnsi="Arial" w:cs="Arial"/>
          <w:sz w:val="24"/>
          <w:szCs w:val="24"/>
          <w:lang w:eastAsia="es-ES"/>
        </w:rPr>
        <w:t>olio 522</w:t>
      </w:r>
      <w:r w:rsidR="000618B1">
        <w:rPr>
          <w:rFonts w:ascii="Arial" w:eastAsia="Times New Roman" w:hAnsi="Arial" w:cs="Arial"/>
          <w:sz w:val="24"/>
          <w:szCs w:val="24"/>
          <w:lang w:eastAsia="es-ES"/>
        </w:rPr>
        <w:t>)</w:t>
      </w:r>
      <w:r w:rsidRPr="00E32ACB">
        <w:rPr>
          <w:rFonts w:ascii="Arial" w:eastAsia="Times New Roman" w:hAnsi="Arial" w:cs="Arial"/>
          <w:sz w:val="24"/>
          <w:szCs w:val="24"/>
          <w:lang w:eastAsia="es-ES"/>
        </w:rPr>
        <w:t>.</w:t>
      </w:r>
    </w:p>
    <w:p w14:paraId="00A26911" w14:textId="74C0AFCE" w:rsidR="00E32ACB" w:rsidRPr="00E32ACB" w:rsidRDefault="00E32ACB" w:rsidP="00E32ACB">
      <w:pPr>
        <w:spacing w:after="120" w:line="240" w:lineRule="auto"/>
        <w:ind w:left="1134"/>
        <w:jc w:val="both"/>
        <w:rPr>
          <w:rFonts w:ascii="Arial" w:eastAsia="Times New Roman" w:hAnsi="Arial" w:cs="Arial"/>
          <w:sz w:val="24"/>
          <w:szCs w:val="24"/>
          <w:lang w:eastAsia="es-ES"/>
        </w:rPr>
      </w:pPr>
      <w:r w:rsidRPr="00E32ACB">
        <w:rPr>
          <w:rFonts w:ascii="Arial" w:eastAsia="Times New Roman" w:hAnsi="Arial" w:cs="Arial"/>
          <w:sz w:val="24"/>
          <w:szCs w:val="24"/>
          <w:lang w:eastAsia="es-ES"/>
        </w:rPr>
        <w:t>Según la información facilitada por CAIXABANK en el marco del expediente de referencia</w:t>
      </w:r>
      <w:r w:rsidR="000618B1">
        <w:rPr>
          <w:rFonts w:ascii="Arial" w:eastAsia="Times New Roman" w:hAnsi="Arial" w:cs="Arial"/>
          <w:sz w:val="24"/>
          <w:szCs w:val="24"/>
          <w:lang w:eastAsia="es-ES"/>
        </w:rPr>
        <w:t xml:space="preserve"> (f</w:t>
      </w:r>
      <w:r w:rsidR="000618B1" w:rsidRPr="000618B1">
        <w:rPr>
          <w:rFonts w:ascii="Arial" w:eastAsia="Times New Roman" w:hAnsi="Arial" w:cs="Arial"/>
          <w:sz w:val="24"/>
          <w:szCs w:val="24"/>
          <w:lang w:eastAsia="es-ES"/>
        </w:rPr>
        <w:t xml:space="preserve">olio </w:t>
      </w:r>
      <w:r w:rsidR="000618B1">
        <w:rPr>
          <w:rFonts w:ascii="Arial" w:eastAsia="Times New Roman" w:hAnsi="Arial" w:cs="Arial"/>
          <w:sz w:val="24"/>
          <w:szCs w:val="24"/>
          <w:lang w:eastAsia="es-ES"/>
        </w:rPr>
        <w:t>474)</w:t>
      </w:r>
      <w:r w:rsidRPr="00E32ACB">
        <w:rPr>
          <w:rFonts w:ascii="Arial" w:eastAsia="Times New Roman" w:hAnsi="Arial" w:cs="Arial"/>
          <w:sz w:val="24"/>
          <w:szCs w:val="24"/>
          <w:lang w:eastAsia="es-ES"/>
        </w:rPr>
        <w:t xml:space="preserve">, el motivo de esta imposibilidad se encuentra en que, hasta que no se consume la cesión del negocio de </w:t>
      </w:r>
      <w:proofErr w:type="spellStart"/>
      <w:r w:rsidRPr="00E32ACB">
        <w:rPr>
          <w:rFonts w:ascii="Arial" w:eastAsia="Times New Roman" w:hAnsi="Arial" w:cs="Arial"/>
          <w:sz w:val="24"/>
          <w:szCs w:val="24"/>
          <w:lang w:eastAsia="es-ES"/>
        </w:rPr>
        <w:t>TPVs</w:t>
      </w:r>
      <w:proofErr w:type="spellEnd"/>
      <w:r w:rsidRPr="00E32ACB">
        <w:rPr>
          <w:rFonts w:ascii="Arial" w:eastAsia="Times New Roman" w:hAnsi="Arial" w:cs="Arial"/>
          <w:sz w:val="24"/>
          <w:szCs w:val="24"/>
          <w:lang w:eastAsia="es-ES"/>
        </w:rPr>
        <w:t xml:space="preserve"> gestionado por BANKIA a COMERCIA, ésta última no estará habilitada legalmente para tener los datos de los clientes a los que enviar los comunicados, ni para tener acceso a las condiciones económicas que aplicaba BANKIA.</w:t>
      </w:r>
    </w:p>
    <w:p w14:paraId="71A55FB4" w14:textId="77777777" w:rsidR="00E32ACB" w:rsidRPr="00E32ACB" w:rsidRDefault="00E32ACB" w:rsidP="00E32ACB">
      <w:pPr>
        <w:spacing w:after="120" w:line="240" w:lineRule="auto"/>
        <w:ind w:left="1134"/>
        <w:jc w:val="both"/>
        <w:rPr>
          <w:rFonts w:ascii="Arial" w:eastAsia="Times New Roman" w:hAnsi="Arial" w:cs="Arial"/>
          <w:sz w:val="24"/>
          <w:szCs w:val="24"/>
          <w:lang w:eastAsia="es-ES"/>
        </w:rPr>
      </w:pPr>
      <w:r w:rsidRPr="00E32ACB">
        <w:rPr>
          <w:rFonts w:ascii="Arial" w:eastAsia="Times New Roman" w:hAnsi="Arial" w:cs="Arial"/>
          <w:sz w:val="24"/>
          <w:szCs w:val="24"/>
          <w:lang w:eastAsia="es-ES"/>
        </w:rPr>
        <w:t xml:space="preserve">Ello exige que el comunicado se envíe extrayendo los datos desde sistemas BANKIA, los cuales no disponen de la información de las condiciones económicas que COMERCIA estaba aplicando a esos clientes compartidos. Información, sin embargo, de la que sí dispone el cliente, pues ya se le estaban aplicando dichas condiciones y que, en </w:t>
      </w:r>
      <w:r w:rsidRPr="00E32ACB">
        <w:rPr>
          <w:rFonts w:ascii="Arial" w:eastAsia="Times New Roman" w:hAnsi="Arial" w:cs="Arial"/>
          <w:sz w:val="24"/>
          <w:szCs w:val="24"/>
          <w:lang w:eastAsia="es-ES"/>
        </w:rPr>
        <w:lastRenderedPageBreak/>
        <w:t>todo caso, están a su disposición, a través de los medios previamente indicados.</w:t>
      </w:r>
    </w:p>
    <w:p w14:paraId="705574E0" w14:textId="77777777" w:rsidR="00E32ACB" w:rsidRPr="00E32ACB" w:rsidRDefault="00E32ACB" w:rsidP="00E32ACB">
      <w:pPr>
        <w:numPr>
          <w:ilvl w:val="0"/>
          <w:numId w:val="36"/>
        </w:numPr>
        <w:spacing w:after="120" w:line="240" w:lineRule="auto"/>
        <w:ind w:left="1418" w:hanging="284"/>
        <w:jc w:val="both"/>
        <w:rPr>
          <w:rFonts w:ascii="Arial" w:hAnsi="Arial" w:cs="Arial"/>
          <w:sz w:val="24"/>
        </w:rPr>
      </w:pPr>
      <w:r w:rsidRPr="00E32ACB">
        <w:rPr>
          <w:rFonts w:ascii="Arial" w:hAnsi="Arial" w:cs="Arial"/>
          <w:b/>
          <w:i/>
          <w:sz w:val="24"/>
          <w:u w:val="single"/>
        </w:rPr>
        <w:t>En caso de una mayor vinculación con BANKIA</w:t>
      </w:r>
      <w:r w:rsidRPr="00E32ACB">
        <w:rPr>
          <w:rFonts w:ascii="Arial" w:hAnsi="Arial" w:cs="Arial"/>
          <w:sz w:val="24"/>
        </w:rPr>
        <w:t>:</w:t>
      </w:r>
    </w:p>
    <w:p w14:paraId="19719DC1" w14:textId="77777777" w:rsidR="00E32ACB" w:rsidRPr="00E32ACB" w:rsidRDefault="00E32ACB" w:rsidP="00E32ACB">
      <w:pPr>
        <w:spacing w:after="120" w:line="240" w:lineRule="auto"/>
        <w:ind w:left="1134"/>
        <w:jc w:val="both"/>
        <w:rPr>
          <w:rFonts w:ascii="Arial" w:eastAsia="Times New Roman" w:hAnsi="Arial" w:cs="Arial"/>
          <w:sz w:val="24"/>
          <w:szCs w:val="24"/>
          <w:lang w:eastAsia="es-ES"/>
        </w:rPr>
      </w:pPr>
      <w:r w:rsidRPr="00E32ACB">
        <w:rPr>
          <w:rFonts w:ascii="Arial" w:eastAsia="Times New Roman" w:hAnsi="Arial" w:cs="Arial"/>
          <w:sz w:val="24"/>
          <w:szCs w:val="24"/>
          <w:lang w:eastAsia="es-ES"/>
        </w:rPr>
        <w:t xml:space="preserve">CAIXABANK aplicará a todos los </w:t>
      </w:r>
      <w:proofErr w:type="spellStart"/>
      <w:r w:rsidRPr="00E32ACB">
        <w:rPr>
          <w:rFonts w:ascii="Arial" w:eastAsia="Times New Roman" w:hAnsi="Arial" w:cs="Arial"/>
          <w:sz w:val="24"/>
          <w:szCs w:val="24"/>
          <w:lang w:eastAsia="es-ES"/>
        </w:rPr>
        <w:t>TPVs</w:t>
      </w:r>
      <w:proofErr w:type="spellEnd"/>
      <w:r w:rsidRPr="00E32ACB">
        <w:rPr>
          <w:rFonts w:ascii="Arial" w:eastAsia="Times New Roman" w:hAnsi="Arial" w:cs="Arial"/>
          <w:sz w:val="24"/>
          <w:szCs w:val="24"/>
          <w:lang w:eastAsia="es-ES"/>
        </w:rPr>
        <w:t xml:space="preserve"> del cliente, tanto los contratados con BANKIA como con COMERCIA, unas nuevas condiciones.</w:t>
      </w:r>
    </w:p>
    <w:p w14:paraId="36BDA9A4" w14:textId="49873376" w:rsidR="00E32ACB" w:rsidRPr="00E32ACB" w:rsidRDefault="00E32ACB" w:rsidP="00E32ACB">
      <w:pPr>
        <w:spacing w:after="120" w:line="240" w:lineRule="auto"/>
        <w:ind w:left="1134"/>
        <w:jc w:val="both"/>
        <w:rPr>
          <w:rFonts w:ascii="Arial" w:eastAsia="Times New Roman" w:hAnsi="Arial" w:cs="Arial"/>
          <w:sz w:val="24"/>
          <w:szCs w:val="24"/>
          <w:lang w:eastAsia="es-ES"/>
        </w:rPr>
      </w:pPr>
      <w:r w:rsidRPr="00E32ACB">
        <w:rPr>
          <w:rFonts w:ascii="Arial" w:eastAsia="Times New Roman" w:hAnsi="Arial" w:cs="Arial"/>
          <w:sz w:val="24"/>
          <w:szCs w:val="24"/>
          <w:lang w:eastAsia="es-ES"/>
        </w:rPr>
        <w:t xml:space="preserve">Estas nuevas condiciones serán similares a las que BANKIA aplicaba a sus </w:t>
      </w:r>
      <w:proofErr w:type="spellStart"/>
      <w:r w:rsidRPr="00E32ACB">
        <w:rPr>
          <w:rFonts w:ascii="Arial" w:eastAsia="Times New Roman" w:hAnsi="Arial" w:cs="Arial"/>
          <w:sz w:val="24"/>
          <w:szCs w:val="24"/>
          <w:lang w:eastAsia="es-ES"/>
        </w:rPr>
        <w:t>TPVs</w:t>
      </w:r>
      <w:proofErr w:type="spellEnd"/>
      <w:r w:rsidRPr="00E32ACB">
        <w:rPr>
          <w:rFonts w:ascii="Arial" w:eastAsia="Times New Roman" w:hAnsi="Arial" w:cs="Arial"/>
          <w:sz w:val="24"/>
          <w:szCs w:val="24"/>
          <w:lang w:eastAsia="es-ES"/>
        </w:rPr>
        <w:t>, pero con algunas modificaciones destinadas a ajustarlas a los sistemas y tarifas de COMERCIA</w:t>
      </w:r>
      <w:r w:rsidR="000618B1">
        <w:rPr>
          <w:rFonts w:ascii="Arial" w:eastAsia="Times New Roman" w:hAnsi="Arial" w:cs="Arial"/>
          <w:sz w:val="24"/>
          <w:szCs w:val="24"/>
          <w:lang w:eastAsia="es-ES"/>
        </w:rPr>
        <w:t xml:space="preserve"> </w:t>
      </w:r>
      <w:bookmarkStart w:id="7" w:name="_Hlk76723977"/>
      <w:r w:rsidR="000618B1" w:rsidRPr="000618B1">
        <w:rPr>
          <w:rFonts w:ascii="Arial" w:eastAsia="Times New Roman" w:hAnsi="Arial" w:cs="Arial"/>
          <w:sz w:val="24"/>
          <w:szCs w:val="24"/>
          <w:lang w:eastAsia="es-ES"/>
        </w:rPr>
        <w:t xml:space="preserve">(folio </w:t>
      </w:r>
      <w:r w:rsidR="000618B1">
        <w:rPr>
          <w:rFonts w:ascii="Arial" w:eastAsia="Times New Roman" w:hAnsi="Arial" w:cs="Arial"/>
          <w:sz w:val="24"/>
          <w:szCs w:val="24"/>
          <w:lang w:eastAsia="es-ES"/>
        </w:rPr>
        <w:t>47</w:t>
      </w:r>
      <w:r w:rsidR="000618B1" w:rsidRPr="000618B1">
        <w:rPr>
          <w:rFonts w:ascii="Arial" w:eastAsia="Times New Roman" w:hAnsi="Arial" w:cs="Arial"/>
          <w:sz w:val="24"/>
          <w:szCs w:val="24"/>
          <w:lang w:eastAsia="es-ES"/>
        </w:rPr>
        <w:t>5)</w:t>
      </w:r>
      <w:bookmarkEnd w:id="7"/>
      <w:r w:rsidRPr="00E32ACB">
        <w:rPr>
          <w:rFonts w:ascii="Arial" w:eastAsia="Times New Roman" w:hAnsi="Arial" w:cs="Arial"/>
          <w:sz w:val="24"/>
          <w:szCs w:val="24"/>
          <w:lang w:eastAsia="es-ES"/>
        </w:rPr>
        <w:t>.</w:t>
      </w:r>
    </w:p>
    <w:p w14:paraId="2521B8B8" w14:textId="77777777" w:rsidR="00E32ACB" w:rsidRPr="00E32ACB" w:rsidRDefault="00E32ACB" w:rsidP="00E32ACB">
      <w:pPr>
        <w:spacing w:after="120" w:line="240" w:lineRule="auto"/>
        <w:ind w:left="1134"/>
        <w:jc w:val="both"/>
        <w:rPr>
          <w:rFonts w:ascii="Arial" w:eastAsia="Times New Roman" w:hAnsi="Arial" w:cs="Arial"/>
          <w:sz w:val="24"/>
          <w:szCs w:val="24"/>
          <w:lang w:eastAsia="es-ES"/>
        </w:rPr>
      </w:pPr>
      <w:r w:rsidRPr="00E32ACB">
        <w:rPr>
          <w:rFonts w:ascii="Arial" w:eastAsia="Times New Roman" w:hAnsi="Arial" w:cs="Arial"/>
          <w:sz w:val="24"/>
          <w:szCs w:val="24"/>
          <w:lang w:eastAsia="es-ES"/>
        </w:rPr>
        <w:t xml:space="preserve">En este caso, debido al problema descrito con anterioridad (imposibilidad de los sistemas de COMERCIA de acceder a las condiciones de origen de BANKIA y viceversa), el comunicado muestra al cliente la siguiente información, para permitir una mínima comparativa por parte de éste: tabla comparativa entre </w:t>
      </w:r>
      <w:r w:rsidRPr="00E32ACB">
        <w:rPr>
          <w:rFonts w:ascii="Arial" w:eastAsia="Times New Roman" w:hAnsi="Arial" w:cs="Arial"/>
          <w:i/>
          <w:sz w:val="24"/>
          <w:szCs w:val="24"/>
          <w:lang w:eastAsia="es-ES"/>
        </w:rPr>
        <w:t>(i)</w:t>
      </w:r>
      <w:r w:rsidRPr="00E32ACB">
        <w:rPr>
          <w:rFonts w:ascii="Arial" w:eastAsia="Times New Roman" w:hAnsi="Arial" w:cs="Arial"/>
          <w:sz w:val="24"/>
          <w:szCs w:val="24"/>
          <w:lang w:eastAsia="es-ES"/>
        </w:rPr>
        <w:t xml:space="preserve"> las condiciones de origen de BANKIA y </w:t>
      </w:r>
      <w:r w:rsidRPr="00E32ACB">
        <w:rPr>
          <w:rFonts w:ascii="Arial" w:eastAsia="Times New Roman" w:hAnsi="Arial" w:cs="Arial"/>
          <w:i/>
          <w:sz w:val="24"/>
          <w:szCs w:val="24"/>
          <w:lang w:eastAsia="es-ES"/>
        </w:rPr>
        <w:t>(</w:t>
      </w:r>
      <w:proofErr w:type="spellStart"/>
      <w:r w:rsidRPr="00E32ACB">
        <w:rPr>
          <w:rFonts w:ascii="Arial" w:eastAsia="Times New Roman" w:hAnsi="Arial" w:cs="Arial"/>
          <w:i/>
          <w:sz w:val="24"/>
          <w:szCs w:val="24"/>
          <w:lang w:eastAsia="es-ES"/>
        </w:rPr>
        <w:t>ii</w:t>
      </w:r>
      <w:proofErr w:type="spellEnd"/>
      <w:r w:rsidRPr="00E32ACB">
        <w:rPr>
          <w:rFonts w:ascii="Arial" w:eastAsia="Times New Roman" w:hAnsi="Arial" w:cs="Arial"/>
          <w:i/>
          <w:sz w:val="24"/>
          <w:szCs w:val="24"/>
          <w:lang w:eastAsia="es-ES"/>
        </w:rPr>
        <w:t>)</w:t>
      </w:r>
      <w:r w:rsidRPr="00E32ACB">
        <w:rPr>
          <w:rFonts w:ascii="Arial" w:eastAsia="Times New Roman" w:hAnsi="Arial" w:cs="Arial"/>
          <w:sz w:val="24"/>
          <w:szCs w:val="24"/>
          <w:lang w:eastAsia="es-ES"/>
        </w:rPr>
        <w:t xml:space="preserve"> las condiciones de COMERCIA que se aplicarán a partir de la fecha de efectos señalada en la comunicación (que, como se ha señalado anteriormente, se trata de las tarifas similares a las de BANKIA y que, por tanto, ésta ya conoce, ajustadas a los sistemas de COMERCIA).</w:t>
      </w:r>
    </w:p>
    <w:p w14:paraId="19B830E8" w14:textId="77777777" w:rsidR="00E32ACB" w:rsidRPr="00E32ACB" w:rsidRDefault="00E32ACB" w:rsidP="00E32ACB">
      <w:pPr>
        <w:numPr>
          <w:ilvl w:val="0"/>
          <w:numId w:val="30"/>
        </w:numPr>
        <w:spacing w:after="120" w:line="240" w:lineRule="auto"/>
        <w:ind w:left="1135" w:hanging="284"/>
        <w:jc w:val="both"/>
        <w:rPr>
          <w:rFonts w:ascii="Arial" w:hAnsi="Arial" w:cs="Arial"/>
          <w:sz w:val="24"/>
        </w:rPr>
      </w:pPr>
      <w:r w:rsidRPr="00E32ACB">
        <w:rPr>
          <w:rFonts w:ascii="Arial" w:hAnsi="Arial" w:cs="Arial"/>
          <w:b/>
          <w:sz w:val="24"/>
          <w:u w:val="single"/>
        </w:rPr>
        <w:t xml:space="preserve">Finalmente, el supuesto de los </w:t>
      </w:r>
      <w:bookmarkStart w:id="8" w:name="_Hlk76555838"/>
      <w:r w:rsidRPr="00E32ACB">
        <w:rPr>
          <w:rFonts w:ascii="Arial" w:hAnsi="Arial" w:cs="Arial"/>
          <w:b/>
          <w:sz w:val="24"/>
          <w:u w:val="single"/>
        </w:rPr>
        <w:t>“</w:t>
      </w:r>
      <w:r w:rsidRPr="00E32ACB">
        <w:rPr>
          <w:rFonts w:ascii="Arial" w:hAnsi="Arial" w:cs="Arial"/>
          <w:b/>
          <w:i/>
          <w:sz w:val="24"/>
          <w:u w:val="single"/>
        </w:rPr>
        <w:t>Comunicados Clientes Compartidos Anexo A</w:t>
      </w:r>
      <w:r w:rsidRPr="00E32ACB">
        <w:rPr>
          <w:rFonts w:ascii="Arial" w:hAnsi="Arial" w:cs="Arial"/>
          <w:b/>
          <w:sz w:val="24"/>
          <w:u w:val="single"/>
        </w:rPr>
        <w:t>”</w:t>
      </w:r>
      <w:bookmarkEnd w:id="8"/>
      <w:r w:rsidRPr="00E32ACB">
        <w:rPr>
          <w:rFonts w:ascii="Arial" w:hAnsi="Arial" w:cs="Arial"/>
          <w:b/>
          <w:sz w:val="24"/>
          <w:u w:val="single"/>
        </w:rPr>
        <w:t xml:space="preserve"> (clientes con servicios de TPV simultáneamente suministrados por BANKIA y COMERCIA, encontrándose en uno de los referidos </w:t>
      </w:r>
      <w:proofErr w:type="spellStart"/>
      <w:r w:rsidRPr="00E32ACB">
        <w:rPr>
          <w:rFonts w:ascii="Arial" w:hAnsi="Arial" w:cs="Arial"/>
          <w:b/>
          <w:sz w:val="24"/>
          <w:u w:val="single"/>
        </w:rPr>
        <w:t>CPs</w:t>
      </w:r>
      <w:proofErr w:type="spellEnd"/>
      <w:r w:rsidRPr="00E32ACB">
        <w:rPr>
          <w:rFonts w:ascii="Arial" w:hAnsi="Arial" w:cs="Arial"/>
          <w:b/>
          <w:sz w:val="24"/>
          <w:u w:val="single"/>
        </w:rPr>
        <w:t>)</w:t>
      </w:r>
      <w:r w:rsidRPr="00E32ACB">
        <w:rPr>
          <w:rFonts w:ascii="Arial" w:hAnsi="Arial" w:cs="Arial"/>
          <w:sz w:val="24"/>
        </w:rPr>
        <w:t>, es similar al de las comunicaciones expuestas en el punto precedente (necesidad de homogeneizar las condiciones económicas).</w:t>
      </w:r>
    </w:p>
    <w:p w14:paraId="4A38E163" w14:textId="2E881E2B" w:rsidR="00E32ACB" w:rsidRPr="00E32ACB" w:rsidRDefault="00E32ACB" w:rsidP="00E32ACB">
      <w:pPr>
        <w:spacing w:after="120" w:line="240" w:lineRule="auto"/>
        <w:ind w:left="1135"/>
        <w:jc w:val="both"/>
        <w:rPr>
          <w:rFonts w:ascii="Arial" w:hAnsi="Arial" w:cs="Arial"/>
          <w:sz w:val="24"/>
        </w:rPr>
      </w:pPr>
      <w:r w:rsidRPr="00E32ACB">
        <w:rPr>
          <w:rFonts w:ascii="Arial" w:hAnsi="Arial" w:cs="Arial"/>
          <w:sz w:val="24"/>
        </w:rPr>
        <w:t>No obstante, en este caso, en aplicación de los compromisos de referencia, se deben mantener o mejorar las condiciones que venían siendo disfrutadas por los clientes, con la dificultad añadida de que en este caso son dos: la que disfrutaban en BANKIA y en COMERCIA</w:t>
      </w:r>
      <w:r w:rsidR="007D2A3A">
        <w:rPr>
          <w:rFonts w:ascii="Arial" w:hAnsi="Arial" w:cs="Arial"/>
          <w:sz w:val="24"/>
        </w:rPr>
        <w:t xml:space="preserve"> </w:t>
      </w:r>
      <w:r w:rsidR="007D2A3A" w:rsidRPr="000618B1">
        <w:rPr>
          <w:rFonts w:ascii="Arial" w:eastAsia="Times New Roman" w:hAnsi="Arial" w:cs="Arial"/>
          <w:sz w:val="24"/>
          <w:szCs w:val="24"/>
          <w:lang w:eastAsia="es-ES"/>
        </w:rPr>
        <w:t xml:space="preserve">(folio </w:t>
      </w:r>
      <w:r w:rsidR="007D2A3A">
        <w:rPr>
          <w:rFonts w:ascii="Arial" w:eastAsia="Times New Roman" w:hAnsi="Arial" w:cs="Arial"/>
          <w:sz w:val="24"/>
          <w:szCs w:val="24"/>
          <w:lang w:eastAsia="es-ES"/>
        </w:rPr>
        <w:t>47</w:t>
      </w:r>
      <w:r w:rsidR="007D2A3A" w:rsidRPr="000618B1">
        <w:rPr>
          <w:rFonts w:ascii="Arial" w:eastAsia="Times New Roman" w:hAnsi="Arial" w:cs="Arial"/>
          <w:sz w:val="24"/>
          <w:szCs w:val="24"/>
          <w:lang w:eastAsia="es-ES"/>
        </w:rPr>
        <w:t>5)</w:t>
      </w:r>
      <w:r w:rsidRPr="00E32ACB">
        <w:rPr>
          <w:rFonts w:ascii="Arial" w:hAnsi="Arial" w:cs="Arial"/>
          <w:sz w:val="24"/>
        </w:rPr>
        <w:t>.</w:t>
      </w:r>
    </w:p>
    <w:p w14:paraId="032B7A25" w14:textId="6C8E2F29" w:rsidR="00E32ACB" w:rsidRPr="00E32ACB" w:rsidRDefault="00E32ACB" w:rsidP="00E32ACB">
      <w:pPr>
        <w:spacing w:after="120" w:line="240" w:lineRule="auto"/>
        <w:ind w:left="1135"/>
        <w:jc w:val="both"/>
        <w:rPr>
          <w:rFonts w:ascii="Arial" w:hAnsi="Arial" w:cs="Arial"/>
          <w:sz w:val="24"/>
        </w:rPr>
      </w:pPr>
      <w:r w:rsidRPr="00E32ACB">
        <w:rPr>
          <w:rFonts w:ascii="Arial" w:hAnsi="Arial" w:cs="Arial"/>
          <w:sz w:val="24"/>
        </w:rPr>
        <w:t>Para solventar esta cuestión, CAIXABANK parte de la base, como principio general, de mantener las mismas condiciones o las más similares a las que tenía el cliente con la entidad de más vinculación (según los criterios señalados con anterioridad)</w:t>
      </w:r>
      <w:r w:rsidR="007D2A3A" w:rsidRPr="007D2A3A">
        <w:rPr>
          <w:rFonts w:ascii="Arial" w:eastAsia="Times New Roman" w:hAnsi="Arial" w:cs="Arial"/>
          <w:sz w:val="24"/>
          <w:szCs w:val="24"/>
          <w:lang w:eastAsia="es-ES"/>
        </w:rPr>
        <w:t xml:space="preserve"> </w:t>
      </w:r>
      <w:r w:rsidR="007D2A3A" w:rsidRPr="000618B1">
        <w:rPr>
          <w:rFonts w:ascii="Arial" w:eastAsia="Times New Roman" w:hAnsi="Arial" w:cs="Arial"/>
          <w:sz w:val="24"/>
          <w:szCs w:val="24"/>
          <w:lang w:eastAsia="es-ES"/>
        </w:rPr>
        <w:t xml:space="preserve">(folio </w:t>
      </w:r>
      <w:r w:rsidR="007D2A3A">
        <w:rPr>
          <w:rFonts w:ascii="Arial" w:eastAsia="Times New Roman" w:hAnsi="Arial" w:cs="Arial"/>
          <w:sz w:val="24"/>
          <w:szCs w:val="24"/>
          <w:lang w:eastAsia="es-ES"/>
        </w:rPr>
        <w:t>47</w:t>
      </w:r>
      <w:r w:rsidR="007D2A3A" w:rsidRPr="000618B1">
        <w:rPr>
          <w:rFonts w:ascii="Arial" w:eastAsia="Times New Roman" w:hAnsi="Arial" w:cs="Arial"/>
          <w:sz w:val="24"/>
          <w:szCs w:val="24"/>
          <w:lang w:eastAsia="es-ES"/>
        </w:rPr>
        <w:t>5)</w:t>
      </w:r>
      <w:r w:rsidRPr="00E32ACB">
        <w:rPr>
          <w:rFonts w:ascii="Arial" w:hAnsi="Arial" w:cs="Arial"/>
          <w:sz w:val="24"/>
        </w:rPr>
        <w:t>.</w:t>
      </w:r>
    </w:p>
    <w:p w14:paraId="35F9957D" w14:textId="659A163D" w:rsidR="00E32ACB" w:rsidRPr="00E32ACB" w:rsidRDefault="00E32ACB" w:rsidP="00E32ACB">
      <w:pPr>
        <w:spacing w:after="120" w:line="240" w:lineRule="auto"/>
        <w:ind w:left="1135"/>
        <w:jc w:val="both"/>
        <w:rPr>
          <w:rFonts w:ascii="Arial" w:hAnsi="Arial" w:cs="Arial"/>
          <w:sz w:val="24"/>
        </w:rPr>
      </w:pPr>
      <w:r w:rsidRPr="00E32ACB">
        <w:rPr>
          <w:rFonts w:ascii="Arial" w:hAnsi="Arial" w:cs="Arial"/>
          <w:sz w:val="24"/>
        </w:rPr>
        <w:t>A partir de ahí, cuando los sistemas lo permiten, se mejoran las condiciones teniendo en cuenta esas tarifas de base, y en todo caso, ya sea sobre esas condiciones mejoradas o cuando el sistema no permita mejorarlas, en los mismos términos establecidos en los “</w:t>
      </w:r>
      <w:r w:rsidRPr="00E32ACB">
        <w:rPr>
          <w:rFonts w:ascii="Arial" w:hAnsi="Arial" w:cs="Arial"/>
          <w:i/>
          <w:sz w:val="24"/>
        </w:rPr>
        <w:t>Comunicados Anexo A</w:t>
      </w:r>
      <w:r w:rsidRPr="00E32ACB">
        <w:rPr>
          <w:rFonts w:ascii="Arial" w:hAnsi="Arial" w:cs="Arial"/>
          <w:sz w:val="24"/>
        </w:rPr>
        <w:t xml:space="preserve">”, descritos con anterioridad, </w:t>
      </w:r>
      <w:r w:rsidRPr="00E32ACB">
        <w:rPr>
          <w:rFonts w:ascii="Arial" w:hAnsi="Arial" w:cs="Arial"/>
          <w:bCs/>
          <w:sz w:val="24"/>
        </w:rPr>
        <w:t xml:space="preserve">se le da al cliente la opción de </w:t>
      </w:r>
      <w:r w:rsidRPr="00E32ACB">
        <w:rPr>
          <w:rFonts w:ascii="Arial" w:hAnsi="Arial" w:cs="Arial"/>
          <w:bCs/>
          <w:sz w:val="24"/>
        </w:rPr>
        <w:lastRenderedPageBreak/>
        <w:t>acudir a su gestor si considera que las nuevas condiciones le perjudican, con el compromiso de CAIXABANK de aplicar la mejora que corresponda</w:t>
      </w:r>
      <w:r w:rsidR="007D2A3A">
        <w:rPr>
          <w:rFonts w:ascii="Arial" w:hAnsi="Arial" w:cs="Arial"/>
          <w:bCs/>
          <w:sz w:val="24"/>
        </w:rPr>
        <w:t xml:space="preserve"> </w:t>
      </w:r>
      <w:r w:rsidR="007D2A3A" w:rsidRPr="007D2A3A">
        <w:rPr>
          <w:rFonts w:ascii="Arial" w:hAnsi="Arial" w:cs="Arial"/>
          <w:bCs/>
          <w:sz w:val="24"/>
        </w:rPr>
        <w:t>(folio 475)</w:t>
      </w:r>
      <w:r w:rsidR="007D2A3A">
        <w:rPr>
          <w:rFonts w:ascii="Arial" w:hAnsi="Arial" w:cs="Arial"/>
          <w:bCs/>
          <w:sz w:val="24"/>
        </w:rPr>
        <w:t xml:space="preserve"> </w:t>
      </w:r>
      <w:r w:rsidRPr="00E32ACB">
        <w:rPr>
          <w:rFonts w:ascii="Arial" w:hAnsi="Arial" w:cs="Arial"/>
          <w:bCs/>
          <w:sz w:val="24"/>
        </w:rPr>
        <w:t xml:space="preserve">(cláusula del derecho de opción por las tarifas anteriores, o en su defecto mejoradas, con efectos retroactivos, </w:t>
      </w:r>
      <w:r w:rsidRPr="00E32ACB">
        <w:rPr>
          <w:rFonts w:ascii="Arial" w:hAnsi="Arial" w:cs="Arial"/>
          <w:sz w:val="24"/>
        </w:rPr>
        <w:t>en el plazo de 6 meses desde la recepción de la comunicación).</w:t>
      </w:r>
    </w:p>
    <w:p w14:paraId="42E8B128" w14:textId="526B4D11" w:rsidR="00E32ACB" w:rsidRPr="00E32ACB" w:rsidRDefault="00E32ACB" w:rsidP="00E32ACB">
      <w:pPr>
        <w:spacing w:after="120" w:line="240" w:lineRule="auto"/>
        <w:ind w:left="1135"/>
        <w:jc w:val="both"/>
        <w:rPr>
          <w:rFonts w:ascii="Arial" w:hAnsi="Arial" w:cs="Arial"/>
          <w:sz w:val="24"/>
        </w:rPr>
      </w:pPr>
      <w:r w:rsidRPr="00E32ACB">
        <w:rPr>
          <w:rFonts w:ascii="Arial" w:hAnsi="Arial" w:cs="Arial"/>
          <w:sz w:val="24"/>
        </w:rPr>
        <w:t>A estos efectos, CAIXABANK sigue el mismo procedimiento indicado para las comunicaciones descritas en el punto precedente. Esto es, determinar la entidad de mayor vinculación con el cliente (BANKIA o COMERCIA), lo que determinará las condiciones que se aplican al mismo</w:t>
      </w:r>
      <w:r w:rsidR="007D2A3A">
        <w:rPr>
          <w:rFonts w:ascii="Arial" w:hAnsi="Arial" w:cs="Arial"/>
          <w:sz w:val="24"/>
        </w:rPr>
        <w:t xml:space="preserve"> </w:t>
      </w:r>
      <w:r w:rsidR="007D2A3A" w:rsidRPr="007D2A3A">
        <w:rPr>
          <w:rFonts w:ascii="Arial" w:hAnsi="Arial" w:cs="Arial"/>
          <w:sz w:val="24"/>
        </w:rPr>
        <w:t>(folio</w:t>
      </w:r>
      <w:r w:rsidR="007D2A3A">
        <w:rPr>
          <w:rFonts w:ascii="Arial" w:hAnsi="Arial" w:cs="Arial"/>
          <w:sz w:val="24"/>
        </w:rPr>
        <w:t>s</w:t>
      </w:r>
      <w:r w:rsidR="007D2A3A" w:rsidRPr="007D2A3A">
        <w:rPr>
          <w:rFonts w:ascii="Arial" w:hAnsi="Arial" w:cs="Arial"/>
          <w:sz w:val="24"/>
        </w:rPr>
        <w:t xml:space="preserve"> 475</w:t>
      </w:r>
      <w:r w:rsidR="007D2A3A">
        <w:rPr>
          <w:rFonts w:ascii="Arial" w:hAnsi="Arial" w:cs="Arial"/>
          <w:sz w:val="24"/>
        </w:rPr>
        <w:t xml:space="preserve"> a 477</w:t>
      </w:r>
      <w:r w:rsidR="007D2A3A" w:rsidRPr="007D2A3A">
        <w:rPr>
          <w:rFonts w:ascii="Arial" w:hAnsi="Arial" w:cs="Arial"/>
          <w:sz w:val="24"/>
        </w:rPr>
        <w:t>)</w:t>
      </w:r>
      <w:r w:rsidRPr="00E32ACB">
        <w:rPr>
          <w:rFonts w:ascii="Arial" w:hAnsi="Arial" w:cs="Arial"/>
          <w:sz w:val="24"/>
        </w:rPr>
        <w:t>:</w:t>
      </w:r>
    </w:p>
    <w:p w14:paraId="73E126B7" w14:textId="77777777" w:rsidR="00E32ACB" w:rsidRPr="00E32ACB" w:rsidRDefault="00E32ACB" w:rsidP="006D2EE8">
      <w:pPr>
        <w:keepNext/>
        <w:keepLines/>
        <w:numPr>
          <w:ilvl w:val="0"/>
          <w:numId w:val="37"/>
        </w:numPr>
        <w:spacing w:after="120" w:line="240" w:lineRule="auto"/>
        <w:ind w:left="1418" w:hanging="284"/>
        <w:jc w:val="both"/>
        <w:rPr>
          <w:rFonts w:ascii="Arial" w:hAnsi="Arial" w:cs="Arial"/>
          <w:sz w:val="24"/>
        </w:rPr>
      </w:pPr>
      <w:r w:rsidRPr="00E32ACB">
        <w:rPr>
          <w:rFonts w:ascii="Arial" w:hAnsi="Arial" w:cs="Arial"/>
          <w:b/>
          <w:i/>
          <w:sz w:val="24"/>
          <w:u w:val="single"/>
        </w:rPr>
        <w:t>En caso de una mayor vinculación con COMERCIA</w:t>
      </w:r>
      <w:r w:rsidRPr="00E32ACB">
        <w:rPr>
          <w:rFonts w:ascii="Arial" w:hAnsi="Arial" w:cs="Arial"/>
          <w:sz w:val="24"/>
        </w:rPr>
        <w:t>:</w:t>
      </w:r>
    </w:p>
    <w:p w14:paraId="1F973CDC" w14:textId="77777777" w:rsidR="00E32ACB" w:rsidRPr="00E32ACB" w:rsidRDefault="00E32ACB" w:rsidP="00E32ACB">
      <w:pPr>
        <w:spacing w:after="120" w:line="240" w:lineRule="auto"/>
        <w:ind w:left="1134"/>
        <w:jc w:val="both"/>
        <w:rPr>
          <w:rFonts w:ascii="Arial" w:eastAsia="Times New Roman" w:hAnsi="Arial" w:cs="Arial"/>
          <w:sz w:val="24"/>
          <w:szCs w:val="24"/>
        </w:rPr>
      </w:pPr>
      <w:r w:rsidRPr="00E32ACB">
        <w:rPr>
          <w:rFonts w:ascii="Arial" w:eastAsia="Times New Roman" w:hAnsi="Arial" w:cs="Arial"/>
          <w:sz w:val="24"/>
          <w:szCs w:val="24"/>
          <w:lang w:eastAsia="es-ES"/>
        </w:rPr>
        <w:t xml:space="preserve">CAIXABANK aplicará a todos los </w:t>
      </w:r>
      <w:proofErr w:type="spellStart"/>
      <w:r w:rsidRPr="00E32ACB">
        <w:rPr>
          <w:rFonts w:ascii="Arial" w:eastAsia="Times New Roman" w:hAnsi="Arial" w:cs="Arial"/>
          <w:sz w:val="24"/>
          <w:szCs w:val="24"/>
          <w:lang w:eastAsia="es-ES"/>
        </w:rPr>
        <w:t>TPVs</w:t>
      </w:r>
      <w:proofErr w:type="spellEnd"/>
      <w:r w:rsidRPr="00E32ACB">
        <w:rPr>
          <w:rFonts w:ascii="Arial" w:eastAsia="Times New Roman" w:hAnsi="Arial" w:cs="Arial"/>
          <w:sz w:val="24"/>
          <w:szCs w:val="24"/>
          <w:lang w:eastAsia="es-ES"/>
        </w:rPr>
        <w:t xml:space="preserve"> del cliente, tanto los contratados con BANKIA como con COMERCIA, </w:t>
      </w:r>
      <w:r w:rsidRPr="00E32ACB">
        <w:rPr>
          <w:rFonts w:ascii="Arial" w:eastAsia="Times New Roman" w:hAnsi="Arial" w:cs="Arial"/>
          <w:sz w:val="24"/>
          <w:szCs w:val="24"/>
        </w:rPr>
        <w:t xml:space="preserve">exactamente las mismas condiciones que se le están aplicando para los </w:t>
      </w:r>
      <w:proofErr w:type="spellStart"/>
      <w:r w:rsidRPr="00E32ACB">
        <w:rPr>
          <w:rFonts w:ascii="Arial" w:eastAsia="Times New Roman" w:hAnsi="Arial" w:cs="Arial"/>
          <w:sz w:val="24"/>
          <w:szCs w:val="24"/>
        </w:rPr>
        <w:t>TPVs</w:t>
      </w:r>
      <w:proofErr w:type="spellEnd"/>
      <w:r w:rsidRPr="00E32ACB">
        <w:rPr>
          <w:rFonts w:ascii="Arial" w:eastAsia="Times New Roman" w:hAnsi="Arial" w:cs="Arial"/>
          <w:sz w:val="24"/>
          <w:szCs w:val="24"/>
        </w:rPr>
        <w:t xml:space="preserve"> que contrató con la segunda (COMERCIA).</w:t>
      </w:r>
    </w:p>
    <w:p w14:paraId="08067980" w14:textId="77777777" w:rsidR="00E32ACB" w:rsidRPr="00E32ACB" w:rsidRDefault="00E32ACB" w:rsidP="00E32ACB">
      <w:pPr>
        <w:spacing w:after="120" w:line="240" w:lineRule="auto"/>
        <w:ind w:left="1134"/>
        <w:jc w:val="both"/>
        <w:rPr>
          <w:rFonts w:ascii="Arial" w:eastAsia="Times New Roman" w:hAnsi="Arial" w:cs="Arial"/>
          <w:sz w:val="24"/>
          <w:szCs w:val="24"/>
        </w:rPr>
      </w:pPr>
      <w:r w:rsidRPr="00E32ACB">
        <w:rPr>
          <w:rFonts w:ascii="Arial" w:eastAsia="Times New Roman" w:hAnsi="Arial" w:cs="Arial"/>
          <w:sz w:val="24"/>
          <w:szCs w:val="24"/>
        </w:rPr>
        <w:t>Al igual que sucedía en el caso de los clientes de los “</w:t>
      </w:r>
      <w:r w:rsidRPr="00E32ACB">
        <w:rPr>
          <w:rFonts w:ascii="Arial" w:eastAsia="Times New Roman" w:hAnsi="Arial" w:cs="Arial"/>
          <w:i/>
          <w:sz w:val="24"/>
          <w:szCs w:val="24"/>
        </w:rPr>
        <w:t>Comunicados Clientes Compartidos GLOBAL</w:t>
      </w:r>
      <w:r w:rsidRPr="00E32ACB">
        <w:rPr>
          <w:rFonts w:ascii="Arial" w:eastAsia="Times New Roman" w:hAnsi="Arial" w:cs="Arial"/>
          <w:sz w:val="24"/>
          <w:szCs w:val="24"/>
        </w:rPr>
        <w:t>” con una mayor vinculación con COMERCIA, no es posible mostrar al cliente en estas comunicaciones las condiciones económicas concretas aplicadas por esta entidad, sino que se le informa de que se procederá a aplicar exactamente las mismas condiciones que se les están aplicando hasta ahora por COMERCIA, conocidas ya por el cliente, en los mismos términos que los empleados en estos otros escritos (pasos para acceder a las condiciones de la citada entidad gestora a través de Banca online, en su oficina física, etc.).</w:t>
      </w:r>
    </w:p>
    <w:p w14:paraId="7B6FD21A" w14:textId="77777777" w:rsidR="00E32ACB" w:rsidRPr="00E32ACB" w:rsidRDefault="00E32ACB" w:rsidP="00E32ACB">
      <w:pPr>
        <w:spacing w:after="120" w:line="240" w:lineRule="auto"/>
        <w:ind w:left="1134"/>
        <w:jc w:val="both"/>
        <w:rPr>
          <w:rFonts w:ascii="Arial" w:eastAsia="Times New Roman" w:hAnsi="Arial" w:cs="Arial"/>
          <w:sz w:val="24"/>
          <w:szCs w:val="24"/>
        </w:rPr>
      </w:pPr>
      <w:r w:rsidRPr="00E32ACB">
        <w:rPr>
          <w:rFonts w:ascii="Arial" w:eastAsia="Times New Roman" w:hAnsi="Arial" w:cs="Arial"/>
          <w:sz w:val="24"/>
          <w:szCs w:val="24"/>
        </w:rPr>
        <w:t xml:space="preserve">Ello se debe al hecho de que, además de tratarse de las condiciones de la entidad con la que el cliente tenía una mayor vinculación, </w:t>
      </w:r>
      <w:r w:rsidRPr="00E32ACB">
        <w:rPr>
          <w:rFonts w:ascii="Arial" w:eastAsia="Times New Roman" w:hAnsi="Arial" w:cs="Arial"/>
          <w:sz w:val="24"/>
          <w:szCs w:val="24"/>
          <w:lang w:eastAsia="es-ES"/>
        </w:rPr>
        <w:t>los datos se extraen de los sistemas de BANKIA y no de COMERCIA, lo que hace que en el comunicado no se puedan mostrar las condiciones de COMERCIA, ni tampoco mejorarlas.</w:t>
      </w:r>
    </w:p>
    <w:p w14:paraId="0BDC2EE7" w14:textId="36FB2B27" w:rsidR="00E32ACB" w:rsidRPr="00E32ACB" w:rsidRDefault="00E32ACB" w:rsidP="00E32ACB">
      <w:pPr>
        <w:spacing w:after="120" w:line="240" w:lineRule="auto"/>
        <w:ind w:left="1134"/>
        <w:jc w:val="both"/>
        <w:rPr>
          <w:rFonts w:ascii="Arial" w:eastAsia="Times New Roman" w:hAnsi="Arial" w:cs="Arial"/>
          <w:sz w:val="24"/>
          <w:szCs w:val="24"/>
          <w:lang w:eastAsia="es-ES"/>
        </w:rPr>
      </w:pPr>
      <w:r w:rsidRPr="00E32ACB">
        <w:rPr>
          <w:rFonts w:ascii="Arial" w:eastAsia="Times New Roman" w:hAnsi="Arial" w:cs="Arial"/>
          <w:sz w:val="24"/>
          <w:szCs w:val="24"/>
          <w:lang w:eastAsia="es-ES"/>
        </w:rPr>
        <w:t>Adicionalmente, como se ha apuntado con anterioridad, este modelo de comunicaciones incorpora la cláusula del derecho en favor del cliente de optar por las tarifas anteriores (o, en su defecto, mejoradas), con efectos retroactiva, en el plazo de 6 meses desde la recepción de la comunicación</w:t>
      </w:r>
      <w:r w:rsidR="007C1F71">
        <w:rPr>
          <w:rFonts w:ascii="Arial" w:eastAsia="Times New Roman" w:hAnsi="Arial" w:cs="Arial"/>
          <w:sz w:val="24"/>
          <w:szCs w:val="24"/>
          <w:lang w:eastAsia="es-ES"/>
        </w:rPr>
        <w:t xml:space="preserve"> </w:t>
      </w:r>
      <w:r w:rsidR="007C1F71" w:rsidRPr="007C1F71">
        <w:rPr>
          <w:rFonts w:ascii="Arial" w:eastAsia="Times New Roman" w:hAnsi="Arial" w:cs="Arial"/>
          <w:sz w:val="24"/>
          <w:szCs w:val="24"/>
          <w:lang w:eastAsia="es-ES"/>
        </w:rPr>
        <w:t xml:space="preserve">(folio </w:t>
      </w:r>
      <w:r w:rsidR="007C1F71">
        <w:rPr>
          <w:rFonts w:ascii="Arial" w:eastAsia="Times New Roman" w:hAnsi="Arial" w:cs="Arial"/>
          <w:sz w:val="24"/>
          <w:szCs w:val="24"/>
          <w:lang w:eastAsia="es-ES"/>
        </w:rPr>
        <w:t>505</w:t>
      </w:r>
      <w:r w:rsidR="007C1F71" w:rsidRPr="007C1F71">
        <w:rPr>
          <w:rFonts w:ascii="Arial" w:eastAsia="Times New Roman" w:hAnsi="Arial" w:cs="Arial"/>
          <w:sz w:val="24"/>
          <w:szCs w:val="24"/>
          <w:lang w:eastAsia="es-ES"/>
        </w:rPr>
        <w:t>)</w:t>
      </w:r>
      <w:r w:rsidRPr="00E32ACB">
        <w:rPr>
          <w:rFonts w:ascii="Arial" w:eastAsia="Times New Roman" w:hAnsi="Arial" w:cs="Arial"/>
          <w:sz w:val="24"/>
          <w:szCs w:val="24"/>
          <w:lang w:eastAsia="es-ES"/>
        </w:rPr>
        <w:t>.</w:t>
      </w:r>
    </w:p>
    <w:p w14:paraId="19000659" w14:textId="77777777" w:rsidR="00E32ACB" w:rsidRPr="00E32ACB" w:rsidRDefault="00E32ACB" w:rsidP="00E32ACB">
      <w:pPr>
        <w:numPr>
          <w:ilvl w:val="0"/>
          <w:numId w:val="37"/>
        </w:numPr>
        <w:spacing w:after="120" w:line="240" w:lineRule="auto"/>
        <w:ind w:left="1418" w:hanging="284"/>
        <w:jc w:val="both"/>
        <w:rPr>
          <w:rFonts w:ascii="Arial" w:hAnsi="Arial" w:cs="Arial"/>
          <w:sz w:val="24"/>
        </w:rPr>
      </w:pPr>
      <w:r w:rsidRPr="00E32ACB">
        <w:rPr>
          <w:rFonts w:ascii="Arial" w:hAnsi="Arial" w:cs="Arial"/>
          <w:b/>
          <w:i/>
          <w:sz w:val="24"/>
          <w:u w:val="single"/>
        </w:rPr>
        <w:t>En el caso de una mayor vinculación con BANKIA</w:t>
      </w:r>
      <w:r w:rsidRPr="00E32ACB">
        <w:rPr>
          <w:rFonts w:ascii="Arial" w:hAnsi="Arial" w:cs="Arial"/>
          <w:sz w:val="24"/>
        </w:rPr>
        <w:t>:</w:t>
      </w:r>
    </w:p>
    <w:p w14:paraId="3100412D" w14:textId="61B3D564" w:rsidR="00E32ACB" w:rsidRPr="00E32ACB" w:rsidRDefault="00E32ACB" w:rsidP="00E32ACB">
      <w:pPr>
        <w:spacing w:after="120" w:line="240" w:lineRule="auto"/>
        <w:ind w:left="1134"/>
        <w:jc w:val="both"/>
        <w:rPr>
          <w:rFonts w:ascii="Arial" w:eastAsia="Times New Roman" w:hAnsi="Arial" w:cs="Arial"/>
          <w:sz w:val="24"/>
          <w:szCs w:val="24"/>
        </w:rPr>
      </w:pPr>
      <w:r w:rsidRPr="00E32ACB">
        <w:rPr>
          <w:rFonts w:ascii="Arial" w:eastAsia="Times New Roman" w:hAnsi="Arial" w:cs="Arial"/>
          <w:sz w:val="24"/>
          <w:szCs w:val="24"/>
          <w:lang w:eastAsia="es-ES"/>
        </w:rPr>
        <w:t xml:space="preserve">CAIXABANK aplicará a todos los </w:t>
      </w:r>
      <w:proofErr w:type="spellStart"/>
      <w:r w:rsidRPr="00E32ACB">
        <w:rPr>
          <w:rFonts w:ascii="Arial" w:eastAsia="Times New Roman" w:hAnsi="Arial" w:cs="Arial"/>
          <w:sz w:val="24"/>
          <w:szCs w:val="24"/>
          <w:lang w:eastAsia="es-ES"/>
        </w:rPr>
        <w:t>TPVs</w:t>
      </w:r>
      <w:proofErr w:type="spellEnd"/>
      <w:r w:rsidRPr="00E32ACB">
        <w:rPr>
          <w:rFonts w:ascii="Arial" w:eastAsia="Times New Roman" w:hAnsi="Arial" w:cs="Arial"/>
          <w:sz w:val="24"/>
          <w:szCs w:val="24"/>
          <w:lang w:eastAsia="es-ES"/>
        </w:rPr>
        <w:t xml:space="preserve"> del cliente, tanto los contratados con BANKIA como con COMERCIA, </w:t>
      </w:r>
      <w:r w:rsidRPr="00E32ACB">
        <w:rPr>
          <w:rFonts w:ascii="Arial" w:eastAsia="Times New Roman" w:hAnsi="Arial" w:cs="Arial"/>
          <w:bCs/>
          <w:sz w:val="24"/>
          <w:szCs w:val="24"/>
        </w:rPr>
        <w:t xml:space="preserve">unas nuevas condiciones que serán </w:t>
      </w:r>
      <w:r w:rsidRPr="00E32ACB">
        <w:rPr>
          <w:rFonts w:ascii="Arial" w:eastAsia="Times New Roman" w:hAnsi="Arial" w:cs="Arial"/>
          <w:bCs/>
          <w:sz w:val="24"/>
          <w:szCs w:val="24"/>
        </w:rPr>
        <w:lastRenderedPageBreak/>
        <w:t xml:space="preserve">similares a las que le aplicaban para sus </w:t>
      </w:r>
      <w:proofErr w:type="spellStart"/>
      <w:r w:rsidRPr="00E32ACB">
        <w:rPr>
          <w:rFonts w:ascii="Arial" w:eastAsia="Times New Roman" w:hAnsi="Arial" w:cs="Arial"/>
          <w:bCs/>
          <w:sz w:val="24"/>
          <w:szCs w:val="24"/>
        </w:rPr>
        <w:t>TPVs</w:t>
      </w:r>
      <w:proofErr w:type="spellEnd"/>
      <w:r w:rsidRPr="00E32ACB">
        <w:rPr>
          <w:rFonts w:ascii="Arial" w:eastAsia="Times New Roman" w:hAnsi="Arial" w:cs="Arial"/>
          <w:bCs/>
          <w:sz w:val="24"/>
          <w:szCs w:val="24"/>
        </w:rPr>
        <w:t xml:space="preserve"> contratados en BANKIA,</w:t>
      </w:r>
      <w:r w:rsidRPr="00E32ACB">
        <w:rPr>
          <w:rFonts w:ascii="Arial" w:eastAsia="Times New Roman" w:hAnsi="Arial" w:cs="Arial"/>
          <w:sz w:val="24"/>
          <w:szCs w:val="24"/>
        </w:rPr>
        <w:t xml:space="preserve"> pero con dos matices</w:t>
      </w:r>
      <w:r w:rsidR="007C1F71">
        <w:rPr>
          <w:rFonts w:ascii="Arial" w:eastAsia="Times New Roman" w:hAnsi="Arial" w:cs="Arial"/>
          <w:sz w:val="24"/>
          <w:szCs w:val="24"/>
        </w:rPr>
        <w:t xml:space="preserve"> </w:t>
      </w:r>
      <w:r w:rsidR="007C1F71" w:rsidRPr="000618B1">
        <w:rPr>
          <w:rFonts w:ascii="Arial" w:eastAsia="Times New Roman" w:hAnsi="Arial" w:cs="Arial"/>
          <w:sz w:val="24"/>
          <w:szCs w:val="24"/>
          <w:lang w:eastAsia="es-ES"/>
        </w:rPr>
        <w:t xml:space="preserve">(folio </w:t>
      </w:r>
      <w:r w:rsidR="007C1F71">
        <w:rPr>
          <w:rFonts w:ascii="Arial" w:eastAsia="Times New Roman" w:hAnsi="Arial" w:cs="Arial"/>
          <w:sz w:val="24"/>
          <w:szCs w:val="24"/>
          <w:lang w:eastAsia="es-ES"/>
        </w:rPr>
        <w:t>476</w:t>
      </w:r>
      <w:r w:rsidR="007C1F71" w:rsidRPr="000618B1">
        <w:rPr>
          <w:rFonts w:ascii="Arial" w:eastAsia="Times New Roman" w:hAnsi="Arial" w:cs="Arial"/>
          <w:sz w:val="24"/>
          <w:szCs w:val="24"/>
          <w:lang w:eastAsia="es-ES"/>
        </w:rPr>
        <w:t>)</w:t>
      </w:r>
      <w:r w:rsidRPr="00E32ACB">
        <w:rPr>
          <w:rFonts w:ascii="Arial" w:eastAsia="Times New Roman" w:hAnsi="Arial" w:cs="Arial"/>
          <w:sz w:val="24"/>
          <w:szCs w:val="24"/>
        </w:rPr>
        <w:t>:</w:t>
      </w:r>
    </w:p>
    <w:p w14:paraId="71D121B4" w14:textId="77777777" w:rsidR="00E32ACB" w:rsidRPr="00E32ACB" w:rsidRDefault="00E32ACB" w:rsidP="00E32ACB">
      <w:pPr>
        <w:numPr>
          <w:ilvl w:val="0"/>
          <w:numId w:val="38"/>
        </w:numPr>
        <w:spacing w:after="120" w:line="240" w:lineRule="auto"/>
        <w:ind w:left="1702" w:hanging="284"/>
        <w:jc w:val="both"/>
        <w:rPr>
          <w:rFonts w:ascii="Arial" w:hAnsi="Arial" w:cs="Arial"/>
          <w:sz w:val="24"/>
        </w:rPr>
      </w:pPr>
      <w:r w:rsidRPr="00E32ACB">
        <w:rPr>
          <w:rFonts w:ascii="Arial" w:hAnsi="Arial" w:cs="Arial"/>
          <w:sz w:val="24"/>
        </w:rPr>
        <w:t>Se incluyen algunas modificaciones destinadas a ajustarlas a los sistemas y tarifas de COMERCIA.</w:t>
      </w:r>
    </w:p>
    <w:p w14:paraId="7F06E5BB" w14:textId="77777777" w:rsidR="00E32ACB" w:rsidRPr="00E32ACB" w:rsidRDefault="00E32ACB" w:rsidP="00E32ACB">
      <w:pPr>
        <w:numPr>
          <w:ilvl w:val="0"/>
          <w:numId w:val="38"/>
        </w:numPr>
        <w:spacing w:after="120" w:line="240" w:lineRule="auto"/>
        <w:ind w:left="1702" w:hanging="284"/>
        <w:jc w:val="both"/>
        <w:rPr>
          <w:rFonts w:ascii="Arial" w:hAnsi="Arial" w:cs="Arial"/>
          <w:sz w:val="24"/>
        </w:rPr>
      </w:pPr>
      <w:r w:rsidRPr="00E32ACB">
        <w:rPr>
          <w:rFonts w:ascii="Arial" w:hAnsi="Arial" w:cs="Arial"/>
          <w:sz w:val="24"/>
        </w:rPr>
        <w:t>Se mejoran las condiciones que tenía en BANKIA en el mismo sentido que en el caso de los “</w:t>
      </w:r>
      <w:r w:rsidRPr="00E32ACB">
        <w:rPr>
          <w:rFonts w:ascii="Arial" w:hAnsi="Arial" w:cs="Arial"/>
          <w:i/>
          <w:sz w:val="24"/>
        </w:rPr>
        <w:t>Comunicados Anexo A</w:t>
      </w:r>
      <w:r w:rsidRPr="00E32ACB">
        <w:rPr>
          <w:rFonts w:ascii="Arial" w:hAnsi="Arial" w:cs="Arial"/>
          <w:sz w:val="24"/>
        </w:rPr>
        <w:t xml:space="preserve">” (clientes situados en los referidos </w:t>
      </w:r>
      <w:proofErr w:type="spellStart"/>
      <w:r w:rsidRPr="00E32ACB">
        <w:rPr>
          <w:rFonts w:ascii="Arial" w:hAnsi="Arial" w:cs="Arial"/>
          <w:sz w:val="24"/>
        </w:rPr>
        <w:t>CPs</w:t>
      </w:r>
      <w:proofErr w:type="spellEnd"/>
      <w:r w:rsidRPr="00E32ACB">
        <w:rPr>
          <w:rFonts w:ascii="Arial" w:hAnsi="Arial" w:cs="Arial"/>
          <w:sz w:val="24"/>
        </w:rPr>
        <w:t xml:space="preserve"> sin servicios de TPV compartidos).</w:t>
      </w:r>
    </w:p>
    <w:p w14:paraId="46A83424" w14:textId="77777777" w:rsidR="00E32ACB" w:rsidRPr="00E32ACB" w:rsidRDefault="00E32ACB" w:rsidP="00E32ACB">
      <w:pPr>
        <w:spacing w:after="120" w:line="240" w:lineRule="auto"/>
        <w:ind w:left="1134"/>
        <w:jc w:val="both"/>
        <w:rPr>
          <w:rFonts w:ascii="Arial" w:eastAsia="Times New Roman" w:hAnsi="Arial" w:cs="Arial"/>
          <w:bCs/>
          <w:sz w:val="24"/>
          <w:szCs w:val="24"/>
          <w:lang w:eastAsia="es-ES"/>
        </w:rPr>
      </w:pPr>
      <w:r w:rsidRPr="00E32ACB">
        <w:rPr>
          <w:rFonts w:ascii="Arial" w:eastAsia="Times New Roman" w:hAnsi="Arial" w:cs="Arial"/>
          <w:sz w:val="24"/>
          <w:szCs w:val="24"/>
          <w:lang w:eastAsia="es-ES"/>
        </w:rPr>
        <w:t xml:space="preserve">Según CAIXABANK, en este caso sí es posible recoger las condiciones económicas mejoradas porque esos datos se extraen de los sistemas BANKIA, </w:t>
      </w:r>
      <w:r w:rsidRPr="00E32ACB">
        <w:rPr>
          <w:rFonts w:ascii="Arial" w:eastAsia="Times New Roman" w:hAnsi="Arial" w:cs="Arial"/>
          <w:bCs/>
          <w:sz w:val="24"/>
          <w:szCs w:val="24"/>
          <w:lang w:eastAsia="es-ES"/>
        </w:rPr>
        <w:t>lo que permite mostrar en el comunicado las condiciones de origen aplicadas por la segunda entidad, mejorarlas y mostrar las condiciones mejoradas en el comunicado.</w:t>
      </w:r>
    </w:p>
    <w:p w14:paraId="3DE510A3" w14:textId="77777777" w:rsidR="00E32ACB" w:rsidRPr="00E32ACB" w:rsidRDefault="00E32ACB" w:rsidP="00E32ACB">
      <w:pPr>
        <w:spacing w:after="120" w:line="240" w:lineRule="auto"/>
        <w:ind w:left="1134"/>
        <w:jc w:val="both"/>
        <w:rPr>
          <w:rFonts w:ascii="Arial" w:eastAsia="Times New Roman" w:hAnsi="Arial" w:cs="Arial"/>
          <w:bCs/>
          <w:sz w:val="24"/>
          <w:szCs w:val="24"/>
          <w:lang w:eastAsia="es-ES"/>
        </w:rPr>
      </w:pPr>
      <w:r w:rsidRPr="00E32ACB">
        <w:rPr>
          <w:rFonts w:ascii="Arial" w:eastAsia="Times New Roman" w:hAnsi="Arial" w:cs="Arial"/>
          <w:bCs/>
          <w:sz w:val="24"/>
          <w:szCs w:val="24"/>
          <w:lang w:eastAsia="es-ES"/>
        </w:rPr>
        <w:t>Por tanto, el comunicado analizado contiene una tabla comparativa entre las tarifas de origen BANKIA y las tarifas mejoradas que aplicará COMERCIA sobre la base de las primeras</w:t>
      </w:r>
      <w:r w:rsidRPr="00E32ACB">
        <w:rPr>
          <w:rFonts w:ascii="Arial" w:eastAsia="Times New Roman" w:hAnsi="Arial" w:cs="Arial"/>
          <w:bCs/>
          <w:sz w:val="24"/>
          <w:szCs w:val="24"/>
          <w:vertAlign w:val="superscript"/>
          <w:lang w:eastAsia="es-ES"/>
        </w:rPr>
        <w:footnoteReference w:id="9"/>
      </w:r>
      <w:r w:rsidRPr="00E32ACB">
        <w:rPr>
          <w:rFonts w:ascii="Arial" w:eastAsia="Times New Roman" w:hAnsi="Arial" w:cs="Arial"/>
          <w:bCs/>
          <w:sz w:val="24"/>
          <w:szCs w:val="24"/>
          <w:lang w:eastAsia="es-ES"/>
        </w:rPr>
        <w:t>.</w:t>
      </w:r>
    </w:p>
    <w:p w14:paraId="17BC029A" w14:textId="70CB548C" w:rsidR="00E32ACB" w:rsidRPr="00E32ACB" w:rsidRDefault="00E32ACB" w:rsidP="00E32ACB">
      <w:pPr>
        <w:spacing w:after="120" w:line="240" w:lineRule="auto"/>
        <w:ind w:left="1134"/>
        <w:jc w:val="both"/>
        <w:rPr>
          <w:rFonts w:ascii="Arial" w:eastAsia="Times New Roman" w:hAnsi="Arial" w:cs="Arial"/>
          <w:bCs/>
          <w:sz w:val="24"/>
          <w:szCs w:val="24"/>
          <w:lang w:eastAsia="es-ES"/>
        </w:rPr>
      </w:pPr>
      <w:r w:rsidRPr="00E32ACB">
        <w:rPr>
          <w:rFonts w:ascii="Arial" w:eastAsia="Times New Roman" w:hAnsi="Arial" w:cs="Arial"/>
          <w:bCs/>
          <w:sz w:val="24"/>
          <w:szCs w:val="24"/>
          <w:lang w:eastAsia="es-ES"/>
        </w:rPr>
        <w:t>Al igual que en el supuesto precedente, y aunque CAIXABANK considera que las condiciones económicas finalmente aplicadas al cliente suponen una mejora de las que venía disfrutando, el escrito de comunicación contiene la descrita cláusula de derecho de opción en favor del cliente, en caso de que considere que el cambio le ocasiona algún perjuicio respecto de las tarifas anteriores</w:t>
      </w:r>
      <w:r w:rsidR="007C1F71">
        <w:rPr>
          <w:rFonts w:ascii="Arial" w:eastAsia="Times New Roman" w:hAnsi="Arial" w:cs="Arial"/>
          <w:bCs/>
          <w:sz w:val="24"/>
          <w:szCs w:val="24"/>
          <w:lang w:eastAsia="es-ES"/>
        </w:rPr>
        <w:t xml:space="preserve"> </w:t>
      </w:r>
      <w:r w:rsidR="007C1F71" w:rsidRPr="000618B1">
        <w:rPr>
          <w:rFonts w:ascii="Arial" w:eastAsia="Times New Roman" w:hAnsi="Arial" w:cs="Arial"/>
          <w:sz w:val="24"/>
          <w:szCs w:val="24"/>
          <w:lang w:eastAsia="es-ES"/>
        </w:rPr>
        <w:t xml:space="preserve">(folio </w:t>
      </w:r>
      <w:r w:rsidR="007C1F71">
        <w:rPr>
          <w:rFonts w:ascii="Arial" w:eastAsia="Times New Roman" w:hAnsi="Arial" w:cs="Arial"/>
          <w:sz w:val="24"/>
          <w:szCs w:val="24"/>
          <w:lang w:eastAsia="es-ES"/>
        </w:rPr>
        <w:t>506</w:t>
      </w:r>
      <w:r w:rsidR="007C1F71" w:rsidRPr="000618B1">
        <w:rPr>
          <w:rFonts w:ascii="Arial" w:eastAsia="Times New Roman" w:hAnsi="Arial" w:cs="Arial"/>
          <w:sz w:val="24"/>
          <w:szCs w:val="24"/>
          <w:lang w:eastAsia="es-ES"/>
        </w:rPr>
        <w:t>)</w:t>
      </w:r>
      <w:r w:rsidRPr="00E32ACB">
        <w:rPr>
          <w:rFonts w:ascii="Arial" w:eastAsia="Times New Roman" w:hAnsi="Arial" w:cs="Arial"/>
          <w:bCs/>
          <w:sz w:val="24"/>
          <w:szCs w:val="24"/>
          <w:lang w:eastAsia="es-ES"/>
        </w:rPr>
        <w:t>.</w:t>
      </w:r>
    </w:p>
    <w:p w14:paraId="22BC8911" w14:textId="7608D0B1" w:rsidR="00E32ACB" w:rsidRPr="00E32ACB" w:rsidRDefault="00E32ACB" w:rsidP="00E32ACB">
      <w:pPr>
        <w:spacing w:after="120" w:line="240" w:lineRule="auto"/>
        <w:ind w:left="1134"/>
        <w:jc w:val="both"/>
        <w:rPr>
          <w:rFonts w:ascii="Arial" w:eastAsia="Times New Roman" w:hAnsi="Arial" w:cs="Arial"/>
          <w:bCs/>
          <w:sz w:val="24"/>
          <w:szCs w:val="24"/>
          <w:lang w:eastAsia="es-ES"/>
        </w:rPr>
      </w:pPr>
      <w:r w:rsidRPr="00E32ACB">
        <w:rPr>
          <w:rFonts w:ascii="Arial" w:eastAsia="Times New Roman" w:hAnsi="Arial" w:cs="Arial"/>
          <w:bCs/>
          <w:sz w:val="24"/>
          <w:szCs w:val="24"/>
          <w:lang w:eastAsia="es-ES"/>
        </w:rPr>
        <w:t>Asimismo, en línea con lo señalado para el caso de los denominados “</w:t>
      </w:r>
      <w:r w:rsidRPr="00E32ACB">
        <w:rPr>
          <w:rFonts w:ascii="Arial" w:eastAsia="Times New Roman" w:hAnsi="Arial" w:cs="Arial"/>
          <w:bCs/>
          <w:i/>
          <w:sz w:val="24"/>
          <w:szCs w:val="24"/>
          <w:lang w:eastAsia="es-ES"/>
        </w:rPr>
        <w:t>Comunicados Anexo A</w:t>
      </w:r>
      <w:r w:rsidRPr="00E32ACB">
        <w:rPr>
          <w:rFonts w:ascii="Arial" w:eastAsia="Times New Roman" w:hAnsi="Arial" w:cs="Arial"/>
          <w:bCs/>
          <w:sz w:val="24"/>
          <w:szCs w:val="24"/>
          <w:lang w:eastAsia="es-ES"/>
        </w:rPr>
        <w:t xml:space="preserve">”, el escrito de comunicación no incluye los servicios relativos a </w:t>
      </w:r>
      <w:proofErr w:type="spellStart"/>
      <w:r w:rsidRPr="00E32ACB">
        <w:rPr>
          <w:rFonts w:ascii="Arial" w:eastAsia="Times New Roman" w:hAnsi="Arial" w:cs="Arial"/>
          <w:bCs/>
          <w:i/>
          <w:sz w:val="24"/>
          <w:szCs w:val="24"/>
          <w:lang w:eastAsia="es-ES"/>
        </w:rPr>
        <w:t>Apl@za</w:t>
      </w:r>
      <w:proofErr w:type="spellEnd"/>
      <w:r w:rsidRPr="00E32ACB">
        <w:rPr>
          <w:rFonts w:ascii="Arial" w:eastAsia="Times New Roman" w:hAnsi="Arial" w:cs="Arial"/>
          <w:bCs/>
          <w:i/>
          <w:sz w:val="24"/>
          <w:szCs w:val="24"/>
          <w:lang w:eastAsia="es-ES"/>
        </w:rPr>
        <w:t>, Exenciones</w:t>
      </w:r>
      <w:r w:rsidRPr="00E32ACB">
        <w:rPr>
          <w:rFonts w:ascii="Arial" w:eastAsia="Times New Roman" w:hAnsi="Arial" w:cs="Arial"/>
          <w:bCs/>
          <w:sz w:val="24"/>
          <w:szCs w:val="24"/>
          <w:lang w:eastAsia="es-ES"/>
        </w:rPr>
        <w:t xml:space="preserve"> y </w:t>
      </w:r>
      <w:proofErr w:type="spellStart"/>
      <w:r w:rsidRPr="00E32ACB">
        <w:rPr>
          <w:rFonts w:ascii="Arial" w:eastAsia="Times New Roman" w:hAnsi="Arial" w:cs="Arial"/>
          <w:bCs/>
          <w:i/>
          <w:sz w:val="24"/>
          <w:szCs w:val="24"/>
          <w:lang w:eastAsia="es-ES"/>
        </w:rPr>
        <w:t>Paygold</w:t>
      </w:r>
      <w:proofErr w:type="spellEnd"/>
      <w:r w:rsidRPr="00E32ACB">
        <w:rPr>
          <w:rFonts w:ascii="Arial" w:eastAsia="Times New Roman" w:hAnsi="Arial" w:cs="Arial"/>
          <w:bCs/>
          <w:sz w:val="24"/>
          <w:szCs w:val="24"/>
          <w:lang w:eastAsia="es-ES"/>
        </w:rPr>
        <w:t xml:space="preserve">, debido a que </w:t>
      </w:r>
      <w:r w:rsidRPr="00E32ACB">
        <w:rPr>
          <w:rFonts w:ascii="Arial" w:eastAsia="Times New Roman" w:hAnsi="Arial" w:cs="Arial"/>
          <w:sz w:val="24"/>
          <w:szCs w:val="24"/>
          <w:lang w:eastAsia="es-ES"/>
        </w:rPr>
        <w:t>se mantienen las mismas condiciones ofrecidas por BANKIA, al ser mejores que las que aplica COMERCIA a sus clientes por los citados servicios, por lo que no hay ningún cambio que comunicar</w:t>
      </w:r>
      <w:r w:rsidR="006776D0">
        <w:rPr>
          <w:rFonts w:ascii="Arial" w:eastAsia="Times New Roman" w:hAnsi="Arial" w:cs="Arial"/>
          <w:sz w:val="24"/>
          <w:szCs w:val="24"/>
          <w:lang w:eastAsia="es-ES"/>
        </w:rPr>
        <w:t xml:space="preserve"> </w:t>
      </w:r>
      <w:r w:rsidR="006776D0" w:rsidRPr="000618B1">
        <w:rPr>
          <w:rFonts w:ascii="Arial" w:eastAsia="Times New Roman" w:hAnsi="Arial" w:cs="Arial"/>
          <w:sz w:val="24"/>
          <w:szCs w:val="24"/>
          <w:lang w:eastAsia="es-ES"/>
        </w:rPr>
        <w:t xml:space="preserve">(folio </w:t>
      </w:r>
      <w:r w:rsidR="006776D0">
        <w:rPr>
          <w:rFonts w:ascii="Arial" w:eastAsia="Times New Roman" w:hAnsi="Arial" w:cs="Arial"/>
          <w:sz w:val="24"/>
          <w:szCs w:val="24"/>
          <w:lang w:eastAsia="es-ES"/>
        </w:rPr>
        <w:t>477</w:t>
      </w:r>
      <w:r w:rsidR="006776D0" w:rsidRPr="000618B1">
        <w:rPr>
          <w:rFonts w:ascii="Arial" w:eastAsia="Times New Roman" w:hAnsi="Arial" w:cs="Arial"/>
          <w:sz w:val="24"/>
          <w:szCs w:val="24"/>
          <w:lang w:eastAsia="es-ES"/>
        </w:rPr>
        <w:t>)</w:t>
      </w:r>
      <w:r w:rsidRPr="00E32ACB">
        <w:rPr>
          <w:rFonts w:ascii="Arial" w:eastAsia="Times New Roman" w:hAnsi="Arial" w:cs="Arial"/>
          <w:sz w:val="24"/>
          <w:szCs w:val="24"/>
          <w:lang w:eastAsia="es-ES"/>
        </w:rPr>
        <w:t>.</w:t>
      </w:r>
    </w:p>
    <w:p w14:paraId="35E310B7" w14:textId="4E3553AA" w:rsidR="00E32ACB" w:rsidRPr="00E32ACB" w:rsidRDefault="00E32ACB" w:rsidP="002B20E6">
      <w:pPr>
        <w:spacing w:after="120" w:line="240" w:lineRule="auto"/>
        <w:jc w:val="both"/>
        <w:rPr>
          <w:rFonts w:ascii="Arial" w:hAnsi="Arial" w:cs="Arial"/>
          <w:bCs/>
          <w:sz w:val="24"/>
        </w:rPr>
      </w:pPr>
      <w:r w:rsidRPr="00E32ACB">
        <w:rPr>
          <w:rFonts w:ascii="Arial" w:hAnsi="Arial" w:cs="Arial"/>
          <w:bCs/>
          <w:sz w:val="24"/>
        </w:rPr>
        <w:t xml:space="preserve">Con base en todo lo anterior, </w:t>
      </w:r>
      <w:r w:rsidR="002B20E6">
        <w:rPr>
          <w:rFonts w:ascii="Arial" w:hAnsi="Arial" w:cs="Arial"/>
          <w:bCs/>
          <w:sz w:val="24"/>
        </w:rPr>
        <w:t xml:space="preserve">la DC </w:t>
      </w:r>
      <w:r w:rsidRPr="00E32ACB">
        <w:rPr>
          <w:rFonts w:ascii="Arial" w:hAnsi="Arial" w:cs="Arial"/>
          <w:bCs/>
          <w:sz w:val="24"/>
        </w:rPr>
        <w:t xml:space="preserve">considera que las comunicaciones dirigidas a informar de los cambios en los servicios de TPV cumplen con lo estipulado en los compromisos autorizados por la </w:t>
      </w:r>
      <w:r w:rsidR="00AD4B8A">
        <w:rPr>
          <w:rFonts w:ascii="Arial" w:hAnsi="Arial" w:cs="Arial"/>
          <w:bCs/>
          <w:sz w:val="24"/>
        </w:rPr>
        <w:t>r</w:t>
      </w:r>
      <w:r w:rsidRPr="00E32ACB">
        <w:rPr>
          <w:rFonts w:ascii="Arial" w:hAnsi="Arial" w:cs="Arial"/>
          <w:bCs/>
          <w:sz w:val="24"/>
        </w:rPr>
        <w:t>esolución del Consejo de la CNMC de 23 de marzo de 2021, en lo relativo a la especificación de las anteriores y nuevas tarifas.</w:t>
      </w:r>
    </w:p>
    <w:p w14:paraId="63051784" w14:textId="706755DF" w:rsidR="00E32ACB" w:rsidRPr="00E32ACB" w:rsidRDefault="00E32ACB" w:rsidP="002B20E6">
      <w:pPr>
        <w:spacing w:after="120" w:line="240" w:lineRule="auto"/>
        <w:jc w:val="both"/>
        <w:rPr>
          <w:rFonts w:ascii="Arial" w:hAnsi="Arial" w:cs="Arial"/>
          <w:bCs/>
          <w:sz w:val="24"/>
        </w:rPr>
      </w:pPr>
      <w:r w:rsidRPr="00E32ACB">
        <w:rPr>
          <w:rFonts w:ascii="Arial" w:hAnsi="Arial" w:cs="Arial"/>
          <w:bCs/>
          <w:sz w:val="24"/>
        </w:rPr>
        <w:lastRenderedPageBreak/>
        <w:t xml:space="preserve">En todo caso, en relación con aquellos productos para los que, según CAIXABANK, por las razones previamente esgrimidas, no sea posible establecer tal comparativa, </w:t>
      </w:r>
      <w:r w:rsidR="002B20E6">
        <w:rPr>
          <w:rFonts w:ascii="Arial" w:hAnsi="Arial" w:cs="Arial"/>
          <w:bCs/>
          <w:sz w:val="24"/>
        </w:rPr>
        <w:t xml:space="preserve">la DC </w:t>
      </w:r>
      <w:r w:rsidRPr="00E32ACB">
        <w:rPr>
          <w:rFonts w:ascii="Arial" w:hAnsi="Arial" w:cs="Arial"/>
          <w:bCs/>
          <w:sz w:val="24"/>
        </w:rPr>
        <w:t xml:space="preserve">estima que la inclusión de la cláusula del derecho de opción descrito en favor del cliente es una salvaguarda para asegurar que, de manera efectiva, los usuarios de los referidos </w:t>
      </w:r>
      <w:proofErr w:type="spellStart"/>
      <w:r w:rsidRPr="00E32ACB">
        <w:rPr>
          <w:rFonts w:ascii="Arial" w:hAnsi="Arial" w:cs="Arial"/>
          <w:bCs/>
          <w:sz w:val="24"/>
        </w:rPr>
        <w:t>CPs</w:t>
      </w:r>
      <w:proofErr w:type="spellEnd"/>
      <w:r w:rsidRPr="00E32ACB">
        <w:rPr>
          <w:rFonts w:ascii="Arial" w:hAnsi="Arial" w:cs="Arial"/>
          <w:bCs/>
          <w:sz w:val="24"/>
        </w:rPr>
        <w:t xml:space="preserve"> tienen la opción de mantener o mejorar las condiciones comerciales que les venían siendo aplicadas</w:t>
      </w:r>
      <w:r w:rsidRPr="00E32ACB">
        <w:rPr>
          <w:rFonts w:ascii="Arial" w:hAnsi="Arial" w:cs="Arial"/>
          <w:bCs/>
          <w:sz w:val="24"/>
          <w:vertAlign w:val="superscript"/>
        </w:rPr>
        <w:footnoteReference w:id="10"/>
      </w:r>
      <w:r w:rsidRPr="00E32ACB">
        <w:rPr>
          <w:rFonts w:ascii="Arial" w:hAnsi="Arial" w:cs="Arial"/>
          <w:bCs/>
          <w:sz w:val="24"/>
        </w:rPr>
        <w:t>.</w:t>
      </w:r>
    </w:p>
    <w:p w14:paraId="55641764" w14:textId="77777777" w:rsidR="00E32ACB" w:rsidRPr="00E32ACB" w:rsidRDefault="00E32ACB" w:rsidP="00E32ACB">
      <w:pPr>
        <w:numPr>
          <w:ilvl w:val="0"/>
          <w:numId w:val="30"/>
        </w:numPr>
        <w:spacing w:after="120" w:line="240" w:lineRule="auto"/>
        <w:ind w:left="851" w:hanging="284"/>
        <w:jc w:val="both"/>
        <w:rPr>
          <w:rFonts w:ascii="Arial" w:hAnsi="Arial" w:cs="Arial"/>
          <w:sz w:val="24"/>
        </w:rPr>
      </w:pPr>
      <w:r w:rsidRPr="00E32ACB">
        <w:rPr>
          <w:rFonts w:ascii="Arial" w:hAnsi="Arial" w:cs="Arial"/>
          <w:bCs/>
          <w:i/>
          <w:iCs/>
          <w:sz w:val="24"/>
        </w:rPr>
        <w:t>Los productos ofrecidos a los clientes de CaixaBank para los que dichos clientes provenientes de Bankia cumplan con los criterios de elegibilidad establecidos y sean equiparables, o mejores, a los productos que tengan contratados en Bankia</w:t>
      </w:r>
    </w:p>
    <w:p w14:paraId="7BE23B81" w14:textId="2717F30F"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Tal como se explica en la información facilitada por CAIXABANK en el marco del expediente</w:t>
      </w:r>
      <w:r w:rsidR="00FB69F3">
        <w:rPr>
          <w:rFonts w:ascii="Arial" w:hAnsi="Arial" w:cs="Arial"/>
          <w:sz w:val="24"/>
        </w:rPr>
        <w:t xml:space="preserve"> </w:t>
      </w:r>
      <w:r w:rsidR="00FB69F3" w:rsidRPr="00FB69F3">
        <w:rPr>
          <w:rFonts w:ascii="Arial" w:hAnsi="Arial" w:cs="Arial"/>
          <w:sz w:val="24"/>
        </w:rPr>
        <w:t>(folio 4</w:t>
      </w:r>
      <w:r w:rsidR="00FB69F3">
        <w:rPr>
          <w:rFonts w:ascii="Arial" w:hAnsi="Arial" w:cs="Arial"/>
          <w:sz w:val="24"/>
        </w:rPr>
        <w:t>6</w:t>
      </w:r>
      <w:r w:rsidR="00FB69F3" w:rsidRPr="00FB69F3">
        <w:rPr>
          <w:rFonts w:ascii="Arial" w:hAnsi="Arial" w:cs="Arial"/>
          <w:sz w:val="24"/>
        </w:rPr>
        <w:t>5)</w:t>
      </w:r>
      <w:r w:rsidRPr="00E32ACB">
        <w:rPr>
          <w:rFonts w:ascii="Arial" w:hAnsi="Arial" w:cs="Arial"/>
          <w:sz w:val="24"/>
        </w:rPr>
        <w:t>, en el supuesto de las comunicaciones relativas a la modificación de cuenta asociada a clientes de los productos de valores, plazo y fondos de inversión no se ofrece un producto equivalente, puesto que se trata de un cambio meramente técnico dirigido a ajustar la prestación del servicio a los protocolos y procedimientos de la entidad financiera.</w:t>
      </w:r>
    </w:p>
    <w:p w14:paraId="3111BE72" w14:textId="4040DD5B"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De igual forma, en el caso de las comunicaciones relativas a los servicios de TPV tampoco se ofrece ningún producto equiparable o mejor al que se modifica</w:t>
      </w:r>
      <w:r w:rsidR="00FB69F3">
        <w:rPr>
          <w:rFonts w:ascii="Arial" w:hAnsi="Arial" w:cs="Arial"/>
          <w:sz w:val="24"/>
        </w:rPr>
        <w:t xml:space="preserve"> </w:t>
      </w:r>
      <w:r w:rsidR="00FB69F3" w:rsidRPr="00FB69F3">
        <w:rPr>
          <w:rFonts w:ascii="Arial" w:hAnsi="Arial" w:cs="Arial"/>
          <w:sz w:val="24"/>
        </w:rPr>
        <w:t>(folio 4</w:t>
      </w:r>
      <w:r w:rsidR="00FB69F3">
        <w:rPr>
          <w:rFonts w:ascii="Arial" w:hAnsi="Arial" w:cs="Arial"/>
          <w:sz w:val="24"/>
        </w:rPr>
        <w:t>66</w:t>
      </w:r>
      <w:r w:rsidR="00FB69F3" w:rsidRPr="00FB69F3">
        <w:rPr>
          <w:rFonts w:ascii="Arial" w:hAnsi="Arial" w:cs="Arial"/>
          <w:sz w:val="24"/>
        </w:rPr>
        <w:t>)</w:t>
      </w:r>
      <w:r w:rsidRPr="00E32ACB">
        <w:rPr>
          <w:rFonts w:ascii="Arial" w:hAnsi="Arial" w:cs="Arial"/>
          <w:sz w:val="24"/>
        </w:rPr>
        <w:t>.</w:t>
      </w:r>
    </w:p>
    <w:p w14:paraId="10C3FB8D" w14:textId="77777777"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 xml:space="preserve">Ello se debe a que no existe ningún otro producto alternativo al que es objeto de las modificaciones comunicadas, pues éstas vienen motivadas, precisamente, por el cambio a un nuevo sistema de gestión, cuyas nuevas condiciones vienen especificadas en detalle en el texto de </w:t>
      </w:r>
      <w:proofErr w:type="gramStart"/>
      <w:r w:rsidRPr="00E32ACB">
        <w:rPr>
          <w:rFonts w:ascii="Arial" w:hAnsi="Arial" w:cs="Arial"/>
          <w:sz w:val="24"/>
        </w:rPr>
        <w:t>las mismas</w:t>
      </w:r>
      <w:proofErr w:type="gramEnd"/>
      <w:r w:rsidRPr="00E32ACB">
        <w:rPr>
          <w:rFonts w:ascii="Arial" w:hAnsi="Arial" w:cs="Arial"/>
          <w:sz w:val="24"/>
        </w:rPr>
        <w:t>, tal y como se ha expuesto con anterioridad.</w:t>
      </w:r>
    </w:p>
    <w:p w14:paraId="4996056C" w14:textId="77777777" w:rsidR="00E32ACB" w:rsidRPr="00E32ACB" w:rsidRDefault="00E32ACB" w:rsidP="00E32ACB">
      <w:pPr>
        <w:numPr>
          <w:ilvl w:val="0"/>
          <w:numId w:val="30"/>
        </w:numPr>
        <w:spacing w:after="120" w:line="240" w:lineRule="auto"/>
        <w:ind w:left="851" w:hanging="284"/>
        <w:jc w:val="both"/>
        <w:rPr>
          <w:rFonts w:ascii="Arial" w:hAnsi="Arial" w:cs="Arial"/>
          <w:sz w:val="24"/>
        </w:rPr>
      </w:pPr>
      <w:r w:rsidRPr="00E32ACB">
        <w:rPr>
          <w:rFonts w:ascii="Arial" w:hAnsi="Arial" w:cs="Arial"/>
          <w:i/>
          <w:sz w:val="24"/>
        </w:rPr>
        <w:t>Que las modificaciones entrarán en vigor en un plazo mínimo de 60 días en el caso de los clientes personas físicas (consumidores y autónomos) y de 30 días en el caso del resto de clientes</w:t>
      </w:r>
    </w:p>
    <w:p w14:paraId="1B5AD8BA" w14:textId="153CE53C"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Según CAIXABANK, el envío a los clientes del bloque de comunicaciones remitidas en su escrito de 1 de julio de 2021, a efectos de su autorización por la CNMC, reviste un carácter urgente por cuestiones técnicas</w:t>
      </w:r>
      <w:r w:rsidR="003E5901">
        <w:rPr>
          <w:rFonts w:ascii="Arial" w:hAnsi="Arial" w:cs="Arial"/>
          <w:sz w:val="24"/>
        </w:rPr>
        <w:t xml:space="preserve"> </w:t>
      </w:r>
      <w:r w:rsidR="003E5901" w:rsidRPr="003E5901">
        <w:rPr>
          <w:rFonts w:ascii="Arial" w:hAnsi="Arial" w:cs="Arial"/>
          <w:sz w:val="24"/>
        </w:rPr>
        <w:t>(folio 4</w:t>
      </w:r>
      <w:r w:rsidR="003E5901">
        <w:rPr>
          <w:rFonts w:ascii="Arial" w:hAnsi="Arial" w:cs="Arial"/>
          <w:sz w:val="24"/>
        </w:rPr>
        <w:t>6</w:t>
      </w:r>
      <w:r w:rsidR="003E5901" w:rsidRPr="003E5901">
        <w:rPr>
          <w:rFonts w:ascii="Arial" w:hAnsi="Arial" w:cs="Arial"/>
          <w:sz w:val="24"/>
        </w:rPr>
        <w:t>7)</w:t>
      </w:r>
      <w:r w:rsidRPr="00E32ACB">
        <w:rPr>
          <w:rFonts w:ascii="Arial" w:hAnsi="Arial" w:cs="Arial"/>
          <w:sz w:val="24"/>
        </w:rPr>
        <w:t>, manifestando que tal envío tendrá lugar inmediatamente en caso de que se obtenga tal aprobación</w:t>
      </w:r>
      <w:r w:rsidR="003E5901">
        <w:rPr>
          <w:rFonts w:ascii="Arial" w:hAnsi="Arial" w:cs="Arial"/>
          <w:sz w:val="24"/>
        </w:rPr>
        <w:t xml:space="preserve"> </w:t>
      </w:r>
      <w:r w:rsidR="003E5901" w:rsidRPr="000618B1">
        <w:rPr>
          <w:rFonts w:ascii="Arial" w:eastAsia="Times New Roman" w:hAnsi="Arial" w:cs="Arial"/>
          <w:sz w:val="24"/>
          <w:szCs w:val="24"/>
          <w:lang w:eastAsia="es-ES"/>
        </w:rPr>
        <w:t xml:space="preserve">(folio </w:t>
      </w:r>
      <w:r w:rsidR="003E5901">
        <w:rPr>
          <w:rFonts w:ascii="Arial" w:eastAsia="Times New Roman" w:hAnsi="Arial" w:cs="Arial"/>
          <w:sz w:val="24"/>
          <w:szCs w:val="24"/>
          <w:lang w:eastAsia="es-ES"/>
        </w:rPr>
        <w:t>464)</w:t>
      </w:r>
      <w:r w:rsidRPr="00E32ACB">
        <w:rPr>
          <w:rFonts w:ascii="Arial" w:hAnsi="Arial" w:cs="Arial"/>
          <w:sz w:val="24"/>
        </w:rPr>
        <w:t>, con objeto de garantizar el citado plazo de 60 días.</w:t>
      </w:r>
    </w:p>
    <w:p w14:paraId="07391EE8" w14:textId="77777777"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 xml:space="preserve">En particular, en el texto de las comunicaciones relativas a productos de Banca Privada, se informa al cliente de que la fecha de entrada en vigor de los cambios </w:t>
      </w:r>
      <w:r w:rsidRPr="00E32ACB">
        <w:rPr>
          <w:rFonts w:ascii="Arial" w:hAnsi="Arial" w:cs="Arial"/>
          <w:sz w:val="24"/>
        </w:rPr>
        <w:lastRenderedPageBreak/>
        <w:t>anunciados (la asignación automática al correspondiente producto de una cuenta corriente ya disponible por el cliente) es la de la unificación de los sistemas operativos de las entidades objeto de la fusión, prevista en noviembre de 2021 (con la fecha específica aún por concreta</w:t>
      </w:r>
      <w:r w:rsidRPr="00E32ACB">
        <w:rPr>
          <w:rFonts w:ascii="Arial" w:hAnsi="Arial" w:cs="Arial"/>
          <w:sz w:val="24"/>
          <w:vertAlign w:val="superscript"/>
        </w:rPr>
        <w:footnoteReference w:id="11"/>
      </w:r>
      <w:r w:rsidRPr="00E32ACB">
        <w:rPr>
          <w:rFonts w:ascii="Arial" w:hAnsi="Arial" w:cs="Arial"/>
          <w:sz w:val="24"/>
        </w:rPr>
        <w:t>).</w:t>
      </w:r>
    </w:p>
    <w:p w14:paraId="35635AC3" w14:textId="77777777"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Por tanto, dichas comunicaciones deben ser enviadas por CAIXABANK con una antelación de, al menos, 60 días a la fecha indicada, en línea con lo dispuesto en el referido compromiso segundo.</w:t>
      </w:r>
    </w:p>
    <w:p w14:paraId="3F9DB252" w14:textId="77777777"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 xml:space="preserve">Asimismo, se incluye una cláusula de aceptación tácita de las nuevas condiciones comunicadas en caso de que el cliente no haya ejercitado su derecho de oposición a la fecha indicada de entrada en vigor de </w:t>
      </w:r>
      <w:proofErr w:type="gramStart"/>
      <w:r w:rsidRPr="00E32ACB">
        <w:rPr>
          <w:rFonts w:ascii="Arial" w:hAnsi="Arial" w:cs="Arial"/>
          <w:sz w:val="24"/>
        </w:rPr>
        <w:t>las mismas</w:t>
      </w:r>
      <w:proofErr w:type="gramEnd"/>
      <w:r w:rsidRPr="00E32ACB">
        <w:rPr>
          <w:rFonts w:ascii="Arial" w:hAnsi="Arial" w:cs="Arial"/>
          <w:sz w:val="24"/>
        </w:rPr>
        <w:t>.</w:t>
      </w:r>
    </w:p>
    <w:p w14:paraId="1FCED892" w14:textId="530930AF"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 xml:space="preserve">En relación con este particular, en las informaciones explicativas facilitadas por CAIXABANK a </w:t>
      </w:r>
      <w:r w:rsidR="002B20E6">
        <w:rPr>
          <w:rFonts w:ascii="Arial" w:hAnsi="Arial" w:cs="Arial"/>
          <w:sz w:val="24"/>
        </w:rPr>
        <w:t xml:space="preserve">la </w:t>
      </w:r>
      <w:r w:rsidRPr="00E32ACB">
        <w:rPr>
          <w:rFonts w:ascii="Arial" w:hAnsi="Arial" w:cs="Arial"/>
          <w:sz w:val="24"/>
        </w:rPr>
        <w:t>D</w:t>
      </w:r>
      <w:r w:rsidR="002B20E6">
        <w:rPr>
          <w:rFonts w:ascii="Arial" w:hAnsi="Arial" w:cs="Arial"/>
          <w:sz w:val="24"/>
        </w:rPr>
        <w:t>C</w:t>
      </w:r>
      <w:r w:rsidRPr="00E32ACB">
        <w:rPr>
          <w:rFonts w:ascii="Arial" w:hAnsi="Arial" w:cs="Arial"/>
          <w:sz w:val="24"/>
        </w:rPr>
        <w:t>, se señala que la asignación automática de cuenta por parte de esta entidad se producirá “</w:t>
      </w:r>
      <w:r w:rsidRPr="00E32ACB">
        <w:rPr>
          <w:rFonts w:ascii="Arial" w:hAnsi="Arial" w:cs="Arial"/>
          <w:i/>
          <w:sz w:val="24"/>
        </w:rPr>
        <w:t>previo aviso (con 60 días de antelación) a los clientes</w:t>
      </w:r>
      <w:r w:rsidRPr="00E32ACB">
        <w:rPr>
          <w:rFonts w:ascii="Arial" w:hAnsi="Arial" w:cs="Arial"/>
          <w:sz w:val="24"/>
        </w:rPr>
        <w:t>”</w:t>
      </w:r>
      <w:r w:rsidRPr="00E32ACB">
        <w:rPr>
          <w:rFonts w:ascii="Arial" w:eastAsia="Times New Roman" w:hAnsi="Arial" w:cs="Arial"/>
          <w:sz w:val="24"/>
          <w:szCs w:val="24"/>
          <w:vertAlign w:val="superscript"/>
          <w:lang w:eastAsia="es-ES"/>
        </w:rPr>
        <w:t xml:space="preserve"> </w:t>
      </w:r>
      <w:r w:rsidR="003E5901" w:rsidRPr="000618B1">
        <w:rPr>
          <w:rFonts w:ascii="Arial" w:eastAsia="Times New Roman" w:hAnsi="Arial" w:cs="Arial"/>
          <w:sz w:val="24"/>
          <w:szCs w:val="24"/>
          <w:lang w:eastAsia="es-ES"/>
        </w:rPr>
        <w:t xml:space="preserve">(folio </w:t>
      </w:r>
      <w:r w:rsidR="003E5901">
        <w:rPr>
          <w:rFonts w:ascii="Arial" w:eastAsia="Times New Roman" w:hAnsi="Arial" w:cs="Arial"/>
          <w:sz w:val="24"/>
          <w:szCs w:val="24"/>
          <w:lang w:eastAsia="es-ES"/>
        </w:rPr>
        <w:t>467</w:t>
      </w:r>
      <w:r w:rsidR="003E5901" w:rsidRPr="000618B1">
        <w:rPr>
          <w:rFonts w:ascii="Arial" w:eastAsia="Times New Roman" w:hAnsi="Arial" w:cs="Arial"/>
          <w:sz w:val="24"/>
          <w:szCs w:val="24"/>
          <w:lang w:eastAsia="es-ES"/>
        </w:rPr>
        <w:t>)</w:t>
      </w:r>
      <w:r w:rsidR="003E5901">
        <w:rPr>
          <w:rFonts w:ascii="Arial" w:eastAsia="Times New Roman" w:hAnsi="Arial" w:cs="Arial"/>
          <w:sz w:val="24"/>
          <w:szCs w:val="24"/>
          <w:lang w:eastAsia="es-ES"/>
        </w:rPr>
        <w:t>.</w:t>
      </w:r>
    </w:p>
    <w:p w14:paraId="5D571847" w14:textId="12E381A0"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 xml:space="preserve">Por tanto, a juicio de </w:t>
      </w:r>
      <w:r w:rsidR="002B20E6">
        <w:rPr>
          <w:rFonts w:ascii="Arial" w:hAnsi="Arial" w:cs="Arial"/>
          <w:sz w:val="24"/>
        </w:rPr>
        <w:t>la DC</w:t>
      </w:r>
      <w:r w:rsidRPr="00E32ACB">
        <w:rPr>
          <w:rFonts w:ascii="Arial" w:hAnsi="Arial" w:cs="Arial"/>
          <w:sz w:val="24"/>
        </w:rPr>
        <w:t>, resulta indudable que la intención de CAIXABANK es proceder al envío de estas comunicaciones tan pronto se obtenga su autorización por la CNMC, con objeto de cumplir con el plazo mínimo de preaviso de 60 días establecido en los compromisos de referencia.</w:t>
      </w:r>
    </w:p>
    <w:p w14:paraId="714B4151" w14:textId="1A261510"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 xml:space="preserve">Por su parte, en las comunicaciones relativas a los servicios de TPV, se señala el 1 de octubre de 2021 como la fecha en la que COMERCIA pasará a ser el nuevo adquirente de los pagos con tarjeta en el establecimiento del cliente, si bien la fecha de efectos para la entrada en vigor de las nuevas condiciones anunciadas queda pendiente de confirmar </w:t>
      </w:r>
      <w:r w:rsidRPr="00E32ACB">
        <w:rPr>
          <w:rFonts w:ascii="Arial" w:hAnsi="Arial" w:cs="Arial"/>
          <w:i/>
          <w:sz w:val="24"/>
        </w:rPr>
        <w:t>(“Ello va a suponer la modificación de determinadas condiciones a partir del día XXX (en adelante, “Fecha de Efectos”</w:t>
      </w:r>
      <w:r w:rsidRPr="00E32ACB">
        <w:rPr>
          <w:rFonts w:ascii="Arial" w:hAnsi="Arial" w:cs="Arial"/>
          <w:sz w:val="24"/>
        </w:rPr>
        <w:t>)”.</w:t>
      </w:r>
    </w:p>
    <w:p w14:paraId="6F15C559" w14:textId="77777777"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 xml:space="preserve">Todo ello, condicionado, según se especifica en el texto de las comunicaciones analizadas, a que la transmisión del negocio de </w:t>
      </w:r>
      <w:proofErr w:type="spellStart"/>
      <w:r w:rsidRPr="00E32ACB">
        <w:rPr>
          <w:rFonts w:ascii="Arial" w:hAnsi="Arial" w:cs="Arial"/>
          <w:sz w:val="24"/>
        </w:rPr>
        <w:t>TPVs</w:t>
      </w:r>
      <w:proofErr w:type="spellEnd"/>
      <w:r w:rsidRPr="00E32ACB">
        <w:rPr>
          <w:rFonts w:ascii="Arial" w:hAnsi="Arial" w:cs="Arial"/>
          <w:sz w:val="24"/>
        </w:rPr>
        <w:t xml:space="preserve"> de BANKIA a COMERCIA obtenga las autorizaciones administrativas pertinentes (entre ellas, la de la CNMC en materia de control de concentraciones).</w:t>
      </w:r>
    </w:p>
    <w:p w14:paraId="3140CA2A" w14:textId="3A76C4F3" w:rsidR="00E32ACB" w:rsidRPr="00E32ACB" w:rsidRDefault="00E32ACB" w:rsidP="002B20E6">
      <w:pPr>
        <w:spacing w:after="120" w:line="240" w:lineRule="auto"/>
        <w:jc w:val="both"/>
        <w:rPr>
          <w:rFonts w:ascii="Arial" w:hAnsi="Arial" w:cs="Arial"/>
          <w:sz w:val="24"/>
        </w:rPr>
      </w:pPr>
      <w:r w:rsidRPr="00E32ACB">
        <w:rPr>
          <w:rFonts w:ascii="Arial" w:hAnsi="Arial" w:cs="Arial"/>
          <w:sz w:val="24"/>
        </w:rPr>
        <w:t xml:space="preserve">Con base en todo lo anterior, </w:t>
      </w:r>
      <w:r w:rsidR="002B20E6">
        <w:rPr>
          <w:rFonts w:ascii="Arial" w:hAnsi="Arial" w:cs="Arial"/>
          <w:sz w:val="24"/>
        </w:rPr>
        <w:t>la DC</w:t>
      </w:r>
      <w:r w:rsidRPr="00E32ACB">
        <w:rPr>
          <w:rFonts w:ascii="Arial" w:hAnsi="Arial" w:cs="Arial"/>
          <w:sz w:val="24"/>
        </w:rPr>
        <w:t xml:space="preserve"> señala que la autorización que, en su caso, el Consejo de la CNMC otorgue a las citadas comunicaciones quede </w:t>
      </w:r>
      <w:r w:rsidRPr="00E32ACB">
        <w:rPr>
          <w:rFonts w:ascii="Arial" w:hAnsi="Arial" w:cs="Arial"/>
          <w:b/>
          <w:sz w:val="24"/>
        </w:rPr>
        <w:t>supeditada a que la fecha de efectos que finalmente se incluya en estos escritos permita cumplir con el plazo de preaviso de dos meses establecido en el referido compromiso segundo</w:t>
      </w:r>
      <w:r w:rsidRPr="00E32ACB">
        <w:rPr>
          <w:rFonts w:ascii="Arial" w:hAnsi="Arial" w:cs="Arial"/>
          <w:sz w:val="24"/>
        </w:rPr>
        <w:t>.</w:t>
      </w:r>
    </w:p>
    <w:p w14:paraId="1D987737" w14:textId="77777777" w:rsidR="00E32ACB" w:rsidRPr="00E32ACB" w:rsidRDefault="00E32ACB" w:rsidP="00E32ACB">
      <w:pPr>
        <w:numPr>
          <w:ilvl w:val="0"/>
          <w:numId w:val="30"/>
        </w:numPr>
        <w:spacing w:after="120" w:line="240" w:lineRule="auto"/>
        <w:ind w:left="851" w:hanging="284"/>
        <w:jc w:val="both"/>
        <w:rPr>
          <w:rFonts w:ascii="Arial" w:hAnsi="Arial" w:cs="Arial"/>
          <w:sz w:val="24"/>
        </w:rPr>
      </w:pPr>
      <w:r w:rsidRPr="00E32ACB">
        <w:rPr>
          <w:rFonts w:ascii="Arial" w:hAnsi="Arial" w:cs="Arial"/>
          <w:bCs/>
          <w:i/>
          <w:iCs/>
          <w:sz w:val="24"/>
        </w:rPr>
        <w:lastRenderedPageBreak/>
        <w:t>Los derechos del cliente ante un cambio de condiciones y libertad del cliente para cambiar de entidad bancaria</w:t>
      </w:r>
    </w:p>
    <w:p w14:paraId="7D22372B" w14:textId="77777777" w:rsidR="00E32ACB" w:rsidRPr="00E32ACB" w:rsidRDefault="00E32ACB" w:rsidP="00183BBF">
      <w:pPr>
        <w:spacing w:after="120" w:line="240" w:lineRule="auto"/>
        <w:jc w:val="both"/>
        <w:rPr>
          <w:rFonts w:ascii="Arial" w:eastAsia="Times New Roman" w:hAnsi="Arial" w:cs="Arial"/>
          <w:sz w:val="24"/>
          <w:szCs w:val="24"/>
          <w:lang w:eastAsia="es-ES"/>
        </w:rPr>
      </w:pPr>
      <w:r w:rsidRPr="00E32ACB">
        <w:rPr>
          <w:rFonts w:ascii="Arial" w:eastAsia="Times New Roman" w:hAnsi="Arial" w:cs="Arial"/>
          <w:sz w:val="24"/>
          <w:szCs w:val="24"/>
          <w:lang w:eastAsia="es-ES"/>
        </w:rPr>
        <w:t xml:space="preserve">Tanto en el supuesto de las comunicaciones relativas a servicios de Banca Privada, como aquellas dirigidas a comunicar las nuevas condiciones de los servicios de TPV, CAIXABANK informa al cliente sobre: </w:t>
      </w:r>
      <w:r w:rsidRPr="00E32ACB">
        <w:rPr>
          <w:rFonts w:ascii="Arial" w:eastAsia="Times New Roman" w:hAnsi="Arial" w:cs="Arial"/>
          <w:i/>
          <w:sz w:val="24"/>
          <w:szCs w:val="24"/>
          <w:lang w:eastAsia="es-ES"/>
        </w:rPr>
        <w:t>(i)</w:t>
      </w:r>
      <w:r w:rsidRPr="00E32ACB">
        <w:rPr>
          <w:rFonts w:ascii="Arial" w:eastAsia="Times New Roman" w:hAnsi="Arial" w:cs="Arial"/>
          <w:sz w:val="24"/>
          <w:szCs w:val="24"/>
          <w:lang w:eastAsia="es-ES"/>
        </w:rPr>
        <w:t xml:space="preserve"> la posibilidad de ejercer su derecho de oposición, solicitando la cancelación del contrato sin penalización económica, antes de la fecha prevista para su entrada en vigor, </w:t>
      </w:r>
      <w:r w:rsidRPr="00E32ACB">
        <w:rPr>
          <w:rFonts w:ascii="Arial" w:eastAsia="Times New Roman" w:hAnsi="Arial" w:cs="Arial"/>
          <w:i/>
          <w:sz w:val="24"/>
          <w:szCs w:val="24"/>
          <w:lang w:eastAsia="es-ES"/>
        </w:rPr>
        <w:t>(</w:t>
      </w:r>
      <w:proofErr w:type="spellStart"/>
      <w:r w:rsidRPr="00E32ACB">
        <w:rPr>
          <w:rFonts w:ascii="Arial" w:eastAsia="Times New Roman" w:hAnsi="Arial" w:cs="Arial"/>
          <w:i/>
          <w:sz w:val="24"/>
          <w:szCs w:val="24"/>
          <w:lang w:eastAsia="es-ES"/>
        </w:rPr>
        <w:t>ii</w:t>
      </w:r>
      <w:proofErr w:type="spellEnd"/>
      <w:r w:rsidRPr="00E32ACB">
        <w:rPr>
          <w:rFonts w:ascii="Arial" w:eastAsia="Times New Roman" w:hAnsi="Arial" w:cs="Arial"/>
          <w:i/>
          <w:sz w:val="24"/>
          <w:szCs w:val="24"/>
          <w:lang w:eastAsia="es-ES"/>
        </w:rPr>
        <w:t>)</w:t>
      </w:r>
      <w:r w:rsidRPr="00E32ACB">
        <w:rPr>
          <w:rFonts w:ascii="Arial" w:eastAsia="Times New Roman" w:hAnsi="Arial" w:cs="Arial"/>
          <w:sz w:val="24"/>
          <w:szCs w:val="24"/>
          <w:lang w:eastAsia="es-ES"/>
        </w:rPr>
        <w:t xml:space="preserve"> la libertad para cambiar de entidad bancaria, </w:t>
      </w:r>
      <w:r w:rsidRPr="00E32ACB">
        <w:rPr>
          <w:rFonts w:ascii="Arial" w:eastAsia="Times New Roman" w:hAnsi="Arial" w:cs="Arial"/>
          <w:i/>
          <w:sz w:val="24"/>
          <w:szCs w:val="24"/>
          <w:lang w:eastAsia="es-ES"/>
        </w:rPr>
        <w:t>(</w:t>
      </w:r>
      <w:proofErr w:type="spellStart"/>
      <w:r w:rsidRPr="00E32ACB">
        <w:rPr>
          <w:rFonts w:ascii="Arial" w:eastAsia="Times New Roman" w:hAnsi="Arial" w:cs="Arial"/>
          <w:i/>
          <w:sz w:val="24"/>
          <w:szCs w:val="24"/>
          <w:lang w:eastAsia="es-ES"/>
        </w:rPr>
        <w:t>iii</w:t>
      </w:r>
      <w:proofErr w:type="spellEnd"/>
      <w:r w:rsidRPr="00E32ACB">
        <w:rPr>
          <w:rFonts w:ascii="Arial" w:eastAsia="Times New Roman" w:hAnsi="Arial" w:cs="Arial"/>
          <w:i/>
          <w:sz w:val="24"/>
          <w:szCs w:val="24"/>
          <w:lang w:eastAsia="es-ES"/>
        </w:rPr>
        <w:t>)</w:t>
      </w:r>
      <w:r w:rsidRPr="00E32ACB">
        <w:rPr>
          <w:rFonts w:ascii="Arial" w:eastAsia="Times New Roman" w:hAnsi="Arial" w:cs="Arial"/>
          <w:sz w:val="24"/>
          <w:szCs w:val="24"/>
          <w:lang w:eastAsia="es-ES"/>
        </w:rPr>
        <w:t xml:space="preserve"> los cauces disponibles a estos efectos (a través de una dirección de email especialmente habilitada o en la propia oficina) y </w:t>
      </w:r>
      <w:r w:rsidRPr="00E32ACB">
        <w:rPr>
          <w:rFonts w:ascii="Arial" w:eastAsia="Times New Roman" w:hAnsi="Arial" w:cs="Arial"/>
          <w:i/>
          <w:sz w:val="24"/>
          <w:szCs w:val="24"/>
          <w:lang w:eastAsia="es-ES"/>
        </w:rPr>
        <w:t>(</w:t>
      </w:r>
      <w:proofErr w:type="spellStart"/>
      <w:r w:rsidRPr="00E32ACB">
        <w:rPr>
          <w:rFonts w:ascii="Arial" w:eastAsia="Times New Roman" w:hAnsi="Arial" w:cs="Arial"/>
          <w:i/>
          <w:sz w:val="24"/>
          <w:szCs w:val="24"/>
          <w:lang w:eastAsia="es-ES"/>
        </w:rPr>
        <w:t>iv</w:t>
      </w:r>
      <w:proofErr w:type="spellEnd"/>
      <w:r w:rsidRPr="00E32ACB">
        <w:rPr>
          <w:rFonts w:ascii="Arial" w:eastAsia="Times New Roman" w:hAnsi="Arial" w:cs="Arial"/>
          <w:i/>
          <w:sz w:val="24"/>
          <w:szCs w:val="24"/>
          <w:lang w:eastAsia="es-ES"/>
        </w:rPr>
        <w:t>)</w:t>
      </w:r>
      <w:r w:rsidRPr="00E32ACB">
        <w:rPr>
          <w:rFonts w:ascii="Arial" w:eastAsia="Times New Roman" w:hAnsi="Arial" w:cs="Arial"/>
          <w:sz w:val="24"/>
          <w:szCs w:val="24"/>
          <w:lang w:eastAsia="es-ES"/>
        </w:rPr>
        <w:t xml:space="preserve"> el plazo para estimar la aceptación tácita por el cliente de las nuevas condiciones comunicadas.</w:t>
      </w:r>
    </w:p>
    <w:p w14:paraId="249F9C3E" w14:textId="6B1773BB" w:rsidR="00FB4E45" w:rsidRDefault="00E32ACB" w:rsidP="00466C23">
      <w:pPr>
        <w:spacing w:after="120" w:line="240" w:lineRule="auto"/>
        <w:jc w:val="both"/>
        <w:rPr>
          <w:rFonts w:ascii="Arial" w:hAnsi="Arial" w:cs="Arial"/>
          <w:sz w:val="24"/>
          <w:szCs w:val="24"/>
        </w:rPr>
      </w:pPr>
      <w:r w:rsidRPr="00E32ACB">
        <w:rPr>
          <w:rFonts w:ascii="Arial" w:eastAsia="Times New Roman" w:hAnsi="Arial" w:cs="Arial"/>
          <w:sz w:val="24"/>
          <w:szCs w:val="24"/>
          <w:lang w:eastAsia="es-ES"/>
        </w:rPr>
        <w:t>Adicionalmente, estas comunicaciones recomiendan al cliente que, en caso de dudas o necesitar más información para valorar la propuesta de la entidad financiera, se ponga en contacto con su gestor comercial.</w:t>
      </w:r>
    </w:p>
    <w:p w14:paraId="59FEE503" w14:textId="3D7B61EE" w:rsidR="00605A65" w:rsidRPr="00183BBF" w:rsidRDefault="003E4250" w:rsidP="00466C23">
      <w:pPr>
        <w:spacing w:after="120" w:line="240" w:lineRule="auto"/>
        <w:jc w:val="both"/>
        <w:rPr>
          <w:rFonts w:ascii="Arial" w:hAnsi="Arial" w:cs="Arial"/>
          <w:sz w:val="24"/>
          <w:szCs w:val="24"/>
        </w:rPr>
      </w:pPr>
      <w:r w:rsidRPr="00552DE5">
        <w:rPr>
          <w:rFonts w:ascii="Arial" w:hAnsi="Arial" w:cs="Arial"/>
          <w:sz w:val="24"/>
          <w:szCs w:val="24"/>
        </w:rPr>
        <w:t xml:space="preserve">Por todo ello, </w:t>
      </w:r>
      <w:r w:rsidR="00182BB1" w:rsidRPr="00552DE5">
        <w:rPr>
          <w:rFonts w:ascii="Arial" w:hAnsi="Arial" w:cs="Arial"/>
          <w:sz w:val="24"/>
          <w:szCs w:val="24"/>
        </w:rPr>
        <w:t xml:space="preserve">la Sala de Competencia considera </w:t>
      </w:r>
      <w:r w:rsidR="0033371A" w:rsidRPr="00552DE5">
        <w:rPr>
          <w:rFonts w:ascii="Arial" w:hAnsi="Arial" w:cs="Arial"/>
          <w:sz w:val="24"/>
          <w:szCs w:val="24"/>
        </w:rPr>
        <w:t>que</w:t>
      </w:r>
      <w:r w:rsidR="002A3786">
        <w:rPr>
          <w:rFonts w:ascii="Arial" w:hAnsi="Arial" w:cs="Arial"/>
          <w:sz w:val="24"/>
          <w:szCs w:val="24"/>
        </w:rPr>
        <w:t xml:space="preserve"> </w:t>
      </w:r>
      <w:r w:rsidR="002A3786" w:rsidRPr="002A3786">
        <w:rPr>
          <w:rFonts w:ascii="Arial" w:hAnsi="Arial" w:cs="Arial"/>
          <w:sz w:val="24"/>
          <w:szCs w:val="24"/>
        </w:rPr>
        <w:t>procede autorizar las comunicaciones presentadas por CAIXABANK</w:t>
      </w:r>
      <w:r w:rsidR="00183BBF">
        <w:rPr>
          <w:rFonts w:ascii="Arial" w:hAnsi="Arial" w:cs="Arial"/>
          <w:sz w:val="24"/>
          <w:szCs w:val="24"/>
        </w:rPr>
        <w:t xml:space="preserve"> el</w:t>
      </w:r>
      <w:r w:rsidR="00605A65" w:rsidRPr="00183BBF">
        <w:rPr>
          <w:rFonts w:ascii="Arial" w:hAnsi="Arial" w:cs="Arial"/>
          <w:sz w:val="24"/>
          <w:szCs w:val="24"/>
        </w:rPr>
        <w:t xml:space="preserve"> 1 de julio de 2021 relativas a </w:t>
      </w:r>
      <w:r w:rsidR="00605A65" w:rsidRPr="00183BBF">
        <w:rPr>
          <w:rFonts w:ascii="Arial" w:hAnsi="Arial" w:cs="Arial"/>
          <w:i/>
          <w:sz w:val="24"/>
          <w:szCs w:val="24"/>
        </w:rPr>
        <w:t>(i)</w:t>
      </w:r>
      <w:r w:rsidR="00605A65" w:rsidRPr="00183BBF">
        <w:rPr>
          <w:rFonts w:ascii="Arial" w:hAnsi="Arial" w:cs="Arial"/>
          <w:sz w:val="24"/>
          <w:szCs w:val="24"/>
        </w:rPr>
        <w:t xml:space="preserve"> la modificación de cuentas asociadas a productos de Banca Privada, valores, fondos y cartera, así como </w:t>
      </w:r>
      <w:r w:rsidR="00605A65" w:rsidRPr="00183BBF">
        <w:rPr>
          <w:rFonts w:ascii="Arial" w:hAnsi="Arial" w:cs="Arial"/>
          <w:i/>
          <w:sz w:val="24"/>
          <w:szCs w:val="24"/>
        </w:rPr>
        <w:t>(</w:t>
      </w:r>
      <w:proofErr w:type="spellStart"/>
      <w:r w:rsidR="00605A65" w:rsidRPr="00183BBF">
        <w:rPr>
          <w:rFonts w:ascii="Arial" w:hAnsi="Arial" w:cs="Arial"/>
          <w:i/>
          <w:sz w:val="24"/>
          <w:szCs w:val="24"/>
        </w:rPr>
        <w:t>ii</w:t>
      </w:r>
      <w:proofErr w:type="spellEnd"/>
      <w:r w:rsidR="00605A65" w:rsidRPr="00183BBF">
        <w:rPr>
          <w:rFonts w:ascii="Arial" w:hAnsi="Arial" w:cs="Arial"/>
          <w:i/>
          <w:sz w:val="24"/>
          <w:szCs w:val="24"/>
        </w:rPr>
        <w:t>)</w:t>
      </w:r>
      <w:r w:rsidR="00605A65" w:rsidRPr="00183BBF">
        <w:rPr>
          <w:rFonts w:ascii="Arial" w:hAnsi="Arial" w:cs="Arial"/>
          <w:sz w:val="24"/>
          <w:szCs w:val="24"/>
        </w:rPr>
        <w:t xml:space="preserve"> la modificación de condiciones contractuales de los contratos de Terminal de Punto de Venta (TPV), a los efectos de lo dispuesto en el apartado 4 de la propuesta de compromisos (compromiso segundo) aprobados por su </w:t>
      </w:r>
      <w:r w:rsidR="00183BBF">
        <w:rPr>
          <w:rFonts w:ascii="Arial" w:hAnsi="Arial" w:cs="Arial"/>
          <w:sz w:val="24"/>
          <w:szCs w:val="24"/>
        </w:rPr>
        <w:t>r</w:t>
      </w:r>
      <w:r w:rsidR="00605A65" w:rsidRPr="00183BBF">
        <w:rPr>
          <w:rFonts w:ascii="Arial" w:hAnsi="Arial" w:cs="Arial"/>
          <w:sz w:val="24"/>
          <w:szCs w:val="24"/>
        </w:rPr>
        <w:t xml:space="preserve">esolución de 23 de marzo de 2021. </w:t>
      </w:r>
    </w:p>
    <w:p w14:paraId="4AB5CD9D" w14:textId="4BF3EC88" w:rsidR="00065AA9" w:rsidRDefault="00605A65" w:rsidP="00FB4766">
      <w:pPr>
        <w:spacing w:after="120" w:line="240" w:lineRule="auto"/>
        <w:jc w:val="both"/>
        <w:rPr>
          <w:rFonts w:ascii="Arial" w:hAnsi="Arial" w:cs="Arial"/>
          <w:sz w:val="24"/>
          <w:szCs w:val="24"/>
        </w:rPr>
      </w:pPr>
      <w:r w:rsidRPr="00183BBF">
        <w:rPr>
          <w:rFonts w:ascii="Arial" w:hAnsi="Arial" w:cs="Arial"/>
          <w:sz w:val="24"/>
          <w:szCs w:val="24"/>
        </w:rPr>
        <w:t xml:space="preserve">En lo que respecta a las nuevas condiciones de los servicios de TPV, la autorización </w:t>
      </w:r>
      <w:r w:rsidR="00183BBF">
        <w:rPr>
          <w:rFonts w:ascii="Arial" w:hAnsi="Arial" w:cs="Arial"/>
          <w:sz w:val="24"/>
          <w:szCs w:val="24"/>
        </w:rPr>
        <w:t xml:space="preserve">de dichas </w:t>
      </w:r>
      <w:r w:rsidRPr="00183BBF">
        <w:rPr>
          <w:rFonts w:ascii="Arial" w:hAnsi="Arial" w:cs="Arial"/>
          <w:sz w:val="24"/>
          <w:szCs w:val="24"/>
        </w:rPr>
        <w:t>comunicaciones qued</w:t>
      </w:r>
      <w:r w:rsidR="00183BBF">
        <w:rPr>
          <w:rFonts w:ascii="Arial" w:hAnsi="Arial" w:cs="Arial"/>
          <w:sz w:val="24"/>
          <w:szCs w:val="24"/>
        </w:rPr>
        <w:t>a</w:t>
      </w:r>
      <w:r w:rsidRPr="00183BBF">
        <w:rPr>
          <w:rFonts w:ascii="Arial" w:hAnsi="Arial" w:cs="Arial"/>
          <w:sz w:val="24"/>
          <w:szCs w:val="24"/>
        </w:rPr>
        <w:t xml:space="preserve"> supeditada a que la fecha de efectos que finalmente se incluya en </w:t>
      </w:r>
      <w:r w:rsidR="00AB47C8">
        <w:rPr>
          <w:rFonts w:ascii="Arial" w:hAnsi="Arial" w:cs="Arial"/>
          <w:sz w:val="24"/>
          <w:szCs w:val="24"/>
        </w:rPr>
        <w:t xml:space="preserve">los </w:t>
      </w:r>
      <w:r w:rsidRPr="00183BBF">
        <w:rPr>
          <w:rFonts w:ascii="Arial" w:hAnsi="Arial" w:cs="Arial"/>
          <w:sz w:val="24"/>
          <w:szCs w:val="24"/>
        </w:rPr>
        <w:t>escritos permita cumplir con el plazo de preaviso de dos meses establecido en el referido compromiso segundo.</w:t>
      </w:r>
    </w:p>
    <w:p w14:paraId="3B9DEABC" w14:textId="77777777" w:rsidR="00065AA9" w:rsidRPr="00065AA9" w:rsidRDefault="00065AA9" w:rsidP="00E01498">
      <w:pPr>
        <w:pStyle w:val="Default"/>
        <w:keepNext/>
        <w:keepLines/>
      </w:pPr>
      <w:r w:rsidRPr="00065AA9">
        <w:t xml:space="preserve">Vistos los preceptos citados y los demás de general aplicación, el Consejo en Sala de Competencia </w:t>
      </w:r>
    </w:p>
    <w:p w14:paraId="3442FAF3" w14:textId="77777777" w:rsidR="00065AA9" w:rsidRPr="00065AA9" w:rsidRDefault="00A16957" w:rsidP="00E01498">
      <w:pPr>
        <w:pStyle w:val="Ttulo2"/>
        <w:jc w:val="center"/>
      </w:pPr>
      <w:r>
        <w:t>RESUELVE</w:t>
      </w:r>
    </w:p>
    <w:p w14:paraId="08A20F27" w14:textId="77777777" w:rsidR="00065AA9" w:rsidRPr="00065AA9" w:rsidRDefault="00065AA9" w:rsidP="00E01498">
      <w:pPr>
        <w:pStyle w:val="Default"/>
        <w:keepNext/>
        <w:keepLines/>
        <w:jc w:val="both"/>
        <w:rPr>
          <w:b/>
          <w:bCs/>
        </w:rPr>
      </w:pPr>
    </w:p>
    <w:p w14:paraId="4E399899" w14:textId="5B85CFEE" w:rsidR="005D519C" w:rsidRPr="00BD5CB2" w:rsidRDefault="0057563B" w:rsidP="00BD5CB2">
      <w:pPr>
        <w:spacing w:after="120" w:line="240" w:lineRule="auto"/>
        <w:jc w:val="both"/>
        <w:rPr>
          <w:rFonts w:ascii="Arial" w:hAnsi="Arial" w:cs="Arial"/>
          <w:bCs/>
          <w:iCs/>
          <w:sz w:val="24"/>
          <w:szCs w:val="24"/>
        </w:rPr>
      </w:pPr>
      <w:r>
        <w:rPr>
          <w:rFonts w:ascii="Arial" w:hAnsi="Arial" w:cs="Arial"/>
          <w:b/>
          <w:sz w:val="24"/>
          <w:szCs w:val="24"/>
        </w:rPr>
        <w:t>ÚNICO</w:t>
      </w:r>
      <w:r w:rsidR="009D50FB" w:rsidRPr="005D519C">
        <w:rPr>
          <w:rFonts w:ascii="Arial" w:hAnsi="Arial" w:cs="Arial"/>
          <w:b/>
          <w:sz w:val="24"/>
          <w:szCs w:val="24"/>
        </w:rPr>
        <w:t xml:space="preserve">. </w:t>
      </w:r>
      <w:r w:rsidR="00B5349D">
        <w:rPr>
          <w:rFonts w:ascii="Arial" w:hAnsi="Arial" w:cs="Arial"/>
          <w:b/>
          <w:sz w:val="24"/>
          <w:szCs w:val="24"/>
        </w:rPr>
        <w:t>–</w:t>
      </w:r>
      <w:r w:rsidR="005D519C" w:rsidRPr="005D519C">
        <w:rPr>
          <w:rFonts w:ascii="Arial" w:hAnsi="Arial" w:cs="Arial"/>
          <w:sz w:val="24"/>
          <w:szCs w:val="24"/>
        </w:rPr>
        <w:t xml:space="preserve"> </w:t>
      </w:r>
      <w:r w:rsidR="003F541A">
        <w:rPr>
          <w:rFonts w:ascii="Arial" w:hAnsi="Arial" w:cs="Arial"/>
          <w:sz w:val="24"/>
          <w:szCs w:val="24"/>
        </w:rPr>
        <w:t>Autorizar las</w:t>
      </w:r>
      <w:r w:rsidR="003F541A" w:rsidRPr="002A3786">
        <w:rPr>
          <w:rFonts w:ascii="Arial" w:hAnsi="Arial" w:cs="Arial"/>
          <w:sz w:val="24"/>
          <w:szCs w:val="24"/>
        </w:rPr>
        <w:t xml:space="preserve"> comunicaciones presentadas por CAIXABANK el </w:t>
      </w:r>
      <w:r w:rsidR="001043DC">
        <w:rPr>
          <w:rFonts w:ascii="Arial" w:hAnsi="Arial" w:cs="Arial"/>
          <w:sz w:val="24"/>
          <w:szCs w:val="24"/>
        </w:rPr>
        <w:t xml:space="preserve">1 de julio </w:t>
      </w:r>
      <w:r w:rsidR="00FA0DF5">
        <w:rPr>
          <w:rFonts w:ascii="Arial" w:hAnsi="Arial" w:cs="Arial"/>
          <w:sz w:val="24"/>
          <w:szCs w:val="24"/>
        </w:rPr>
        <w:t>d</w:t>
      </w:r>
      <w:r w:rsidR="00FA0DF5" w:rsidRPr="002A3786">
        <w:rPr>
          <w:rFonts w:ascii="Arial" w:hAnsi="Arial" w:cs="Arial"/>
          <w:sz w:val="24"/>
          <w:szCs w:val="24"/>
        </w:rPr>
        <w:t>e 2021</w:t>
      </w:r>
      <w:r w:rsidR="003F541A" w:rsidRPr="002A3786">
        <w:rPr>
          <w:rFonts w:ascii="Arial" w:hAnsi="Arial" w:cs="Arial"/>
          <w:sz w:val="24"/>
          <w:szCs w:val="24"/>
        </w:rPr>
        <w:t xml:space="preserve">, a los efectos de lo dispuesto en el </w:t>
      </w:r>
      <w:r w:rsidR="003F541A" w:rsidRPr="002A3786">
        <w:rPr>
          <w:rFonts w:ascii="Arial" w:hAnsi="Arial" w:cs="Arial"/>
          <w:bCs/>
          <w:iCs/>
          <w:sz w:val="24"/>
          <w:szCs w:val="24"/>
        </w:rPr>
        <w:t xml:space="preserve">apartado 4 de la propuesta de compromisos aprobados por su </w:t>
      </w:r>
      <w:r w:rsidR="001043DC">
        <w:rPr>
          <w:rFonts w:ascii="Arial" w:hAnsi="Arial" w:cs="Arial"/>
          <w:bCs/>
          <w:iCs/>
          <w:sz w:val="24"/>
          <w:szCs w:val="24"/>
        </w:rPr>
        <w:t>r</w:t>
      </w:r>
      <w:r w:rsidR="003F541A" w:rsidRPr="002A3786">
        <w:rPr>
          <w:rFonts w:ascii="Arial" w:hAnsi="Arial" w:cs="Arial"/>
          <w:bCs/>
          <w:iCs/>
          <w:sz w:val="24"/>
          <w:szCs w:val="24"/>
        </w:rPr>
        <w:t>esolución de 23 de marzo de 2021.</w:t>
      </w:r>
    </w:p>
    <w:p w14:paraId="129FF755" w14:textId="77777777" w:rsidR="000B1A48" w:rsidRPr="00E01498" w:rsidRDefault="000B1A48" w:rsidP="00E01498">
      <w:pPr>
        <w:pStyle w:val="Default"/>
        <w:jc w:val="both"/>
      </w:pPr>
    </w:p>
    <w:p w14:paraId="4D657C99" w14:textId="67C5EA48" w:rsidR="004246B6" w:rsidRPr="00E01498" w:rsidRDefault="00E01498" w:rsidP="00FB4766">
      <w:pPr>
        <w:widowControl w:val="0"/>
        <w:autoSpaceDE w:val="0"/>
        <w:autoSpaceDN w:val="0"/>
        <w:adjustRightInd w:val="0"/>
        <w:spacing w:after="120" w:line="240" w:lineRule="auto"/>
        <w:contextualSpacing/>
        <w:jc w:val="both"/>
        <w:rPr>
          <w:rFonts w:ascii="Arial" w:hAnsi="Arial" w:cs="Arial"/>
          <w:b/>
          <w:sz w:val="24"/>
          <w:szCs w:val="24"/>
        </w:rPr>
      </w:pPr>
      <w:r>
        <w:rPr>
          <w:rFonts w:ascii="Arial" w:hAnsi="Arial" w:cs="Arial"/>
          <w:sz w:val="24"/>
          <w:szCs w:val="24"/>
        </w:rPr>
        <w:t xml:space="preserve">Comuníquese este acuerdo </w:t>
      </w:r>
      <w:r w:rsidRPr="00E01498">
        <w:rPr>
          <w:rFonts w:ascii="Arial" w:hAnsi="Arial" w:cs="Arial"/>
          <w:sz w:val="24"/>
          <w:szCs w:val="24"/>
        </w:rPr>
        <w:t xml:space="preserve">a la Dirección de Competencia de la Comisión Nacional de los Mercados y la Competencia y notifíquese al interesado, haciéndole saber que la misma pone fin a la vía administrativa y que se puede interponer contra ella recurso contencioso-administrativo ante la Audiencia Nacional, en el plazo de dos meses a contar desde el día siguiente a su notificación. </w:t>
      </w:r>
    </w:p>
    <w:sectPr w:rsidR="004246B6" w:rsidRPr="00E01498" w:rsidSect="006D2EE8">
      <w:headerReference w:type="default" r:id="rId8"/>
      <w:footerReference w:type="even" r:id="rId9"/>
      <w:footerReference w:type="default" r:id="rId10"/>
      <w:pgSz w:w="11906" w:h="16838" w:code="9"/>
      <w:pgMar w:top="2457" w:right="1558" w:bottom="1418" w:left="158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A702D" w14:textId="77777777" w:rsidR="00C96D18" w:rsidRDefault="00C96D18">
      <w:r>
        <w:separator/>
      </w:r>
    </w:p>
  </w:endnote>
  <w:endnote w:type="continuationSeparator" w:id="0">
    <w:p w14:paraId="5E74F85B" w14:textId="77777777" w:rsidR="00C96D18" w:rsidRDefault="00C9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A7A9" w14:textId="77777777" w:rsidR="007F2B9C" w:rsidRDefault="007F2B9C" w:rsidP="00873BE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4EC0A1" w14:textId="77777777" w:rsidR="007F2B9C" w:rsidRDefault="007F2B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5480" w14:textId="774C5E40" w:rsidR="007F2B9C" w:rsidRDefault="007F2B9C" w:rsidP="00873BE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2EE8">
      <w:rPr>
        <w:rStyle w:val="Nmerodepgina"/>
        <w:noProof/>
      </w:rPr>
      <w:t>18</w:t>
    </w:r>
    <w:r>
      <w:rPr>
        <w:rStyle w:val="Nmerodepgina"/>
      </w:rPr>
      <w:fldChar w:fldCharType="end"/>
    </w:r>
  </w:p>
  <w:tbl>
    <w:tblPr>
      <w:tblW w:w="8551" w:type="dxa"/>
      <w:tblBorders>
        <w:top w:val="single" w:sz="4" w:space="0" w:color="auto"/>
      </w:tblBorders>
      <w:tblCellMar>
        <w:left w:w="70" w:type="dxa"/>
        <w:right w:w="70" w:type="dxa"/>
      </w:tblCellMar>
      <w:tblLook w:val="0000" w:firstRow="0" w:lastRow="0" w:firstColumn="0" w:lastColumn="0" w:noHBand="0" w:noVBand="0"/>
    </w:tblPr>
    <w:tblGrid>
      <w:gridCol w:w="2268"/>
      <w:gridCol w:w="4536"/>
      <w:gridCol w:w="1747"/>
    </w:tblGrid>
    <w:tr w:rsidR="000A4DC2" w:rsidRPr="00412495" w14:paraId="20CFC109" w14:textId="77777777" w:rsidTr="00313787">
      <w:trPr>
        <w:trHeight w:val="219"/>
      </w:trPr>
      <w:tc>
        <w:tcPr>
          <w:tcW w:w="2268" w:type="dxa"/>
        </w:tcPr>
        <w:p w14:paraId="7EB1F7D2" w14:textId="210ED083" w:rsidR="000A4DC2" w:rsidRPr="00A02A7D" w:rsidRDefault="000A4DC2" w:rsidP="000A4DC2">
          <w:pPr>
            <w:pStyle w:val="Piedepgina"/>
            <w:tabs>
              <w:tab w:val="center" w:pos="4678"/>
              <w:tab w:val="right" w:pos="9355"/>
            </w:tabs>
            <w:rPr>
              <w:rFonts w:ascii="Arial" w:hAnsi="Arial" w:cs="Arial"/>
              <w:bCs/>
              <w:sz w:val="14"/>
              <w:szCs w:val="14"/>
              <w:highlight w:val="yellow"/>
            </w:rPr>
          </w:pPr>
          <w:r w:rsidRPr="00A02A7D">
            <w:rPr>
              <w:rFonts w:ascii="Arial" w:hAnsi="Arial" w:cs="Arial"/>
              <w:bCs/>
              <w:sz w:val="14"/>
              <w:szCs w:val="14"/>
              <w:lang w:eastAsia="es-ES"/>
            </w:rPr>
            <w:t>VC/</w:t>
          </w:r>
          <w:r w:rsidR="001C0A37">
            <w:rPr>
              <w:rFonts w:ascii="Arial" w:hAnsi="Arial" w:cs="Arial"/>
              <w:bCs/>
              <w:sz w:val="14"/>
              <w:szCs w:val="14"/>
              <w:lang w:eastAsia="es-ES"/>
            </w:rPr>
            <w:t>1144</w:t>
          </w:r>
          <w:r w:rsidRPr="00A02A7D">
            <w:rPr>
              <w:rFonts w:ascii="Arial" w:hAnsi="Arial" w:cs="Arial"/>
              <w:bCs/>
              <w:sz w:val="14"/>
              <w:szCs w:val="14"/>
              <w:lang w:eastAsia="es-ES"/>
            </w:rPr>
            <w:t>/</w:t>
          </w:r>
          <w:r w:rsidR="00DD135D">
            <w:rPr>
              <w:rFonts w:ascii="Arial" w:hAnsi="Arial" w:cs="Arial"/>
              <w:bCs/>
              <w:sz w:val="14"/>
              <w:szCs w:val="14"/>
              <w:lang w:eastAsia="es-ES"/>
            </w:rPr>
            <w:t>20</w:t>
          </w:r>
        </w:p>
      </w:tc>
      <w:tc>
        <w:tcPr>
          <w:tcW w:w="4536" w:type="dxa"/>
        </w:tcPr>
        <w:p w14:paraId="0C7D2C14" w14:textId="77777777" w:rsidR="000A4DC2" w:rsidRPr="00412495" w:rsidRDefault="000A4DC2" w:rsidP="000A4DC2">
          <w:pPr>
            <w:pStyle w:val="Piedepgina"/>
            <w:tabs>
              <w:tab w:val="clear" w:pos="4252"/>
              <w:tab w:val="center" w:pos="3507"/>
              <w:tab w:val="center" w:pos="4678"/>
              <w:tab w:val="right" w:pos="9355"/>
            </w:tabs>
            <w:spacing w:after="0"/>
            <w:ind w:left="-594" w:right="130"/>
            <w:jc w:val="center"/>
            <w:rPr>
              <w:rFonts w:ascii="Arial" w:hAnsi="Arial" w:cs="Arial"/>
              <w:sz w:val="14"/>
              <w:szCs w:val="14"/>
            </w:rPr>
          </w:pPr>
          <w:r w:rsidRPr="00412495">
            <w:rPr>
              <w:rFonts w:ascii="Arial" w:hAnsi="Arial" w:cs="Arial"/>
              <w:sz w:val="14"/>
              <w:szCs w:val="14"/>
            </w:rPr>
            <w:t>Comisión Nacional de los Mercados y la Competencia</w:t>
          </w:r>
        </w:p>
        <w:p w14:paraId="3910A740" w14:textId="77777777" w:rsidR="000A4DC2" w:rsidRPr="00412495" w:rsidRDefault="000A4DC2" w:rsidP="000A4DC2">
          <w:pPr>
            <w:pStyle w:val="Piedepgina"/>
            <w:tabs>
              <w:tab w:val="clear" w:pos="4252"/>
              <w:tab w:val="center" w:pos="4678"/>
              <w:tab w:val="right" w:pos="9355"/>
            </w:tabs>
            <w:spacing w:after="0"/>
            <w:ind w:left="-453" w:right="353"/>
            <w:jc w:val="center"/>
            <w:rPr>
              <w:rFonts w:ascii="Arial" w:hAnsi="Arial" w:cs="Arial"/>
              <w:sz w:val="14"/>
              <w:szCs w:val="14"/>
            </w:rPr>
          </w:pPr>
          <w:r w:rsidRPr="00412495">
            <w:rPr>
              <w:rFonts w:ascii="Arial" w:hAnsi="Arial" w:cs="Arial"/>
              <w:sz w:val="14"/>
              <w:szCs w:val="14"/>
            </w:rPr>
            <w:t>C/ Barquillo, 5 – 28004 Madrid - C/ Bolivia, 56 – 08018 Barcelona</w:t>
          </w:r>
        </w:p>
        <w:p w14:paraId="4EED0DA1" w14:textId="77777777" w:rsidR="000A4DC2" w:rsidRPr="00412495" w:rsidRDefault="00EA21C0" w:rsidP="000A4DC2">
          <w:pPr>
            <w:pStyle w:val="Piedepgina"/>
            <w:tabs>
              <w:tab w:val="center" w:pos="4678"/>
              <w:tab w:val="right" w:pos="9355"/>
            </w:tabs>
            <w:spacing w:after="0"/>
            <w:ind w:left="-453"/>
            <w:jc w:val="center"/>
            <w:rPr>
              <w:rFonts w:ascii="Arial" w:hAnsi="Arial" w:cs="Arial"/>
              <w:sz w:val="14"/>
              <w:szCs w:val="14"/>
            </w:rPr>
          </w:pPr>
          <w:hyperlink r:id="rId1" w:history="1">
            <w:r w:rsidR="000A4DC2" w:rsidRPr="00412495">
              <w:rPr>
                <w:rStyle w:val="Hipervnculo"/>
                <w:rFonts w:ascii="Arial" w:hAnsi="Arial" w:cs="Arial"/>
                <w:sz w:val="14"/>
                <w:szCs w:val="14"/>
              </w:rPr>
              <w:t>www.cnmc.es</w:t>
            </w:r>
          </w:hyperlink>
        </w:p>
      </w:tc>
      <w:tc>
        <w:tcPr>
          <w:tcW w:w="1747" w:type="dxa"/>
        </w:tcPr>
        <w:p w14:paraId="7730A8FC" w14:textId="20B2C4CF" w:rsidR="000A4DC2" w:rsidRPr="00412495" w:rsidRDefault="000A4DC2" w:rsidP="000A4DC2">
          <w:pPr>
            <w:pStyle w:val="Piedepgina"/>
            <w:tabs>
              <w:tab w:val="center" w:pos="4678"/>
              <w:tab w:val="right" w:pos="9355"/>
            </w:tabs>
            <w:jc w:val="center"/>
            <w:rPr>
              <w:rFonts w:ascii="Arial" w:hAnsi="Arial" w:cs="Arial"/>
              <w:sz w:val="14"/>
              <w:szCs w:val="14"/>
            </w:rPr>
          </w:pPr>
          <w:r w:rsidRPr="00412495">
            <w:rPr>
              <w:rFonts w:ascii="Arial" w:hAnsi="Arial" w:cs="Arial"/>
              <w:snapToGrid w:val="0"/>
              <w:sz w:val="14"/>
              <w:szCs w:val="14"/>
            </w:rPr>
            <w:t xml:space="preserve">Página </w:t>
          </w:r>
          <w:r w:rsidRPr="00412495">
            <w:rPr>
              <w:rFonts w:ascii="Arial" w:hAnsi="Arial" w:cs="Arial"/>
              <w:snapToGrid w:val="0"/>
              <w:sz w:val="14"/>
              <w:szCs w:val="14"/>
            </w:rPr>
            <w:fldChar w:fldCharType="begin"/>
          </w:r>
          <w:r w:rsidRPr="00412495">
            <w:rPr>
              <w:rFonts w:ascii="Arial" w:hAnsi="Arial" w:cs="Arial"/>
              <w:snapToGrid w:val="0"/>
              <w:sz w:val="14"/>
              <w:szCs w:val="14"/>
            </w:rPr>
            <w:instrText xml:space="preserve"> PAGE </w:instrText>
          </w:r>
          <w:r w:rsidRPr="00412495">
            <w:rPr>
              <w:rFonts w:ascii="Arial" w:hAnsi="Arial" w:cs="Arial"/>
              <w:snapToGrid w:val="0"/>
              <w:sz w:val="14"/>
              <w:szCs w:val="14"/>
            </w:rPr>
            <w:fldChar w:fldCharType="separate"/>
          </w:r>
          <w:r w:rsidR="006D2EE8">
            <w:rPr>
              <w:rFonts w:ascii="Arial" w:hAnsi="Arial" w:cs="Arial"/>
              <w:noProof/>
              <w:snapToGrid w:val="0"/>
              <w:sz w:val="14"/>
              <w:szCs w:val="14"/>
            </w:rPr>
            <w:t>18</w:t>
          </w:r>
          <w:r w:rsidRPr="00412495">
            <w:rPr>
              <w:rFonts w:ascii="Arial" w:hAnsi="Arial" w:cs="Arial"/>
              <w:snapToGrid w:val="0"/>
              <w:sz w:val="14"/>
              <w:szCs w:val="14"/>
            </w:rPr>
            <w:fldChar w:fldCharType="end"/>
          </w:r>
          <w:r w:rsidRPr="00412495">
            <w:rPr>
              <w:rFonts w:ascii="Arial" w:hAnsi="Arial" w:cs="Arial"/>
              <w:snapToGrid w:val="0"/>
              <w:sz w:val="14"/>
              <w:szCs w:val="14"/>
            </w:rPr>
            <w:t xml:space="preserve"> de </w:t>
          </w:r>
          <w:r w:rsidRPr="00412495">
            <w:rPr>
              <w:rFonts w:ascii="Arial" w:hAnsi="Arial" w:cs="Arial"/>
              <w:snapToGrid w:val="0"/>
              <w:sz w:val="14"/>
              <w:szCs w:val="14"/>
            </w:rPr>
            <w:fldChar w:fldCharType="begin"/>
          </w:r>
          <w:r w:rsidRPr="00412495">
            <w:rPr>
              <w:rFonts w:ascii="Arial" w:hAnsi="Arial" w:cs="Arial"/>
              <w:snapToGrid w:val="0"/>
              <w:sz w:val="14"/>
              <w:szCs w:val="14"/>
            </w:rPr>
            <w:instrText xml:space="preserve"> NUMPAGES </w:instrText>
          </w:r>
          <w:r w:rsidRPr="00412495">
            <w:rPr>
              <w:rFonts w:ascii="Arial" w:hAnsi="Arial" w:cs="Arial"/>
              <w:snapToGrid w:val="0"/>
              <w:sz w:val="14"/>
              <w:szCs w:val="14"/>
            </w:rPr>
            <w:fldChar w:fldCharType="separate"/>
          </w:r>
          <w:r w:rsidR="006D2EE8">
            <w:rPr>
              <w:rFonts w:ascii="Arial" w:hAnsi="Arial" w:cs="Arial"/>
              <w:noProof/>
              <w:snapToGrid w:val="0"/>
              <w:sz w:val="14"/>
              <w:szCs w:val="14"/>
            </w:rPr>
            <w:t>18</w:t>
          </w:r>
          <w:r w:rsidRPr="00412495">
            <w:rPr>
              <w:rFonts w:ascii="Arial" w:hAnsi="Arial" w:cs="Arial"/>
              <w:snapToGrid w:val="0"/>
              <w:sz w:val="14"/>
              <w:szCs w:val="14"/>
            </w:rPr>
            <w:fldChar w:fldCharType="end"/>
          </w:r>
        </w:p>
      </w:tc>
    </w:tr>
  </w:tbl>
  <w:p w14:paraId="5D2D48EA" w14:textId="77777777" w:rsidR="000A4DC2" w:rsidRDefault="000A4DC2" w:rsidP="000A4DC2">
    <w:pPr>
      <w:pStyle w:val="Piedepgina"/>
      <w:jc w:val="center"/>
    </w:pPr>
  </w:p>
  <w:p w14:paraId="433684C6" w14:textId="77777777" w:rsidR="007F2B9C" w:rsidRDefault="007F2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F34BF" w14:textId="77777777" w:rsidR="00C96D18" w:rsidRDefault="00C96D18">
      <w:r>
        <w:separator/>
      </w:r>
    </w:p>
  </w:footnote>
  <w:footnote w:type="continuationSeparator" w:id="0">
    <w:p w14:paraId="35AF31F4" w14:textId="77777777" w:rsidR="00C96D18" w:rsidRDefault="00C96D18">
      <w:r>
        <w:continuationSeparator/>
      </w:r>
    </w:p>
  </w:footnote>
  <w:footnote w:id="1">
    <w:p w14:paraId="53742500" w14:textId="77777777" w:rsidR="007E1C97" w:rsidRPr="006D2EE8" w:rsidRDefault="007E1C97" w:rsidP="006D2EE8">
      <w:pPr>
        <w:pStyle w:val="Textonotapie"/>
        <w:spacing w:after="60"/>
        <w:ind w:left="142" w:hanging="142"/>
        <w:jc w:val="both"/>
        <w:rPr>
          <w:rFonts w:ascii="Arial" w:hAnsi="Arial" w:cs="Arial"/>
        </w:rPr>
      </w:pPr>
      <w:r w:rsidRPr="006D2EE8">
        <w:rPr>
          <w:rStyle w:val="Refdenotaalpie"/>
          <w:rFonts w:ascii="Arial" w:hAnsi="Arial" w:cs="Arial"/>
        </w:rPr>
        <w:footnoteRef/>
      </w:r>
      <w:r w:rsidRPr="006D2EE8">
        <w:rPr>
          <w:rFonts w:ascii="Arial" w:hAnsi="Arial" w:cs="Arial"/>
        </w:rPr>
        <w:t xml:space="preserve"> No obstante, este compromiso no resulta de aplicación:</w:t>
      </w:r>
    </w:p>
    <w:p w14:paraId="29BC5614" w14:textId="77777777" w:rsidR="007E1C97" w:rsidRPr="006D2EE8" w:rsidRDefault="007E1C97" w:rsidP="006D2EE8">
      <w:pPr>
        <w:pStyle w:val="Textonotapie"/>
        <w:numPr>
          <w:ilvl w:val="0"/>
          <w:numId w:val="26"/>
        </w:numPr>
        <w:tabs>
          <w:tab w:val="left" w:pos="284"/>
        </w:tabs>
        <w:spacing w:after="60"/>
        <w:ind w:left="142" w:hanging="142"/>
        <w:jc w:val="both"/>
        <w:rPr>
          <w:rFonts w:ascii="Arial" w:hAnsi="Arial" w:cs="Arial"/>
        </w:rPr>
      </w:pPr>
      <w:r w:rsidRPr="006D2EE8">
        <w:rPr>
          <w:rFonts w:ascii="Arial" w:hAnsi="Arial" w:cs="Arial"/>
        </w:rPr>
        <w:t xml:space="preserve">A las campañas de comunicación institucional o publicitaria que CaixaBank realice de forma generalizada al público, o a un segmento </w:t>
      </w:r>
      <w:proofErr w:type="gramStart"/>
      <w:r w:rsidRPr="006D2EE8">
        <w:rPr>
          <w:rFonts w:ascii="Arial" w:hAnsi="Arial" w:cs="Arial"/>
        </w:rPr>
        <w:t>del mismo</w:t>
      </w:r>
      <w:proofErr w:type="gramEnd"/>
      <w:r w:rsidRPr="006D2EE8">
        <w:rPr>
          <w:rFonts w:ascii="Arial" w:hAnsi="Arial" w:cs="Arial"/>
        </w:rPr>
        <w:t>.</w:t>
      </w:r>
    </w:p>
    <w:p w14:paraId="393F1861" w14:textId="77777777" w:rsidR="007E1C97" w:rsidRPr="006D2EE8" w:rsidRDefault="007E1C97" w:rsidP="006D2EE8">
      <w:pPr>
        <w:pStyle w:val="Textonotapie"/>
        <w:numPr>
          <w:ilvl w:val="0"/>
          <w:numId w:val="26"/>
        </w:numPr>
        <w:tabs>
          <w:tab w:val="left" w:pos="284"/>
        </w:tabs>
        <w:spacing w:after="60"/>
        <w:ind w:left="142" w:hanging="142"/>
        <w:jc w:val="both"/>
        <w:rPr>
          <w:rFonts w:ascii="Arial" w:hAnsi="Arial" w:cs="Arial"/>
        </w:rPr>
      </w:pPr>
      <w:r w:rsidRPr="006D2EE8">
        <w:rPr>
          <w:rFonts w:ascii="Arial" w:hAnsi="Arial" w:cs="Arial"/>
        </w:rPr>
        <w:t>Las comunicaciones bilaterales e individualizadas entre un cliente y CAIXABANK (si bien estas comunicaciones respetarán en todo caso las obligaciones de este compromiso siempre que tengan un contenido equivalente a lo recogido en este compromiso.</w:t>
      </w:r>
    </w:p>
    <w:p w14:paraId="44971648" w14:textId="77777777" w:rsidR="007E1C97" w:rsidRPr="006D2EE8" w:rsidRDefault="007E1C97" w:rsidP="006D2EE8">
      <w:pPr>
        <w:pStyle w:val="Textonotapie"/>
        <w:numPr>
          <w:ilvl w:val="0"/>
          <w:numId w:val="26"/>
        </w:numPr>
        <w:tabs>
          <w:tab w:val="left" w:pos="284"/>
        </w:tabs>
        <w:spacing w:after="60"/>
        <w:ind w:left="142" w:hanging="142"/>
        <w:jc w:val="both"/>
        <w:rPr>
          <w:rFonts w:ascii="Arial" w:hAnsi="Arial" w:cs="Arial"/>
        </w:rPr>
      </w:pPr>
      <w:r w:rsidRPr="006D2EE8">
        <w:rPr>
          <w:rFonts w:ascii="Arial" w:hAnsi="Arial" w:cs="Arial"/>
        </w:rPr>
        <w:t>Las comunicaciones de CAIXABANK dirigidas a las grandes empresas, entendiendo por grandes empresas aquellas empresas que cumplan con cualquiera de los siguientes criterios: ocupen a más de 250 trabajadores, su volumen de negocios anual exceda de 50 millones de euros o cuyo balance general anual exceda de 43 millones de euros.</w:t>
      </w:r>
    </w:p>
  </w:footnote>
  <w:footnote w:id="2">
    <w:p w14:paraId="7604EF2A" w14:textId="5D97F975" w:rsidR="009F07BF" w:rsidRPr="006D2EE8" w:rsidRDefault="009F07BF" w:rsidP="006D2EE8">
      <w:pPr>
        <w:pStyle w:val="Textonotapie"/>
        <w:spacing w:after="60"/>
        <w:ind w:left="142" w:hanging="142"/>
        <w:jc w:val="both"/>
        <w:rPr>
          <w:rFonts w:ascii="Arial" w:hAnsi="Arial" w:cs="Arial"/>
        </w:rPr>
      </w:pPr>
      <w:r w:rsidRPr="006D2EE8">
        <w:rPr>
          <w:rStyle w:val="Refdenotaalpie"/>
          <w:rFonts w:ascii="Arial" w:hAnsi="Arial" w:cs="Arial"/>
        </w:rPr>
        <w:footnoteRef/>
      </w:r>
      <w:r w:rsidRPr="006D2EE8">
        <w:rPr>
          <w:rFonts w:ascii="Arial" w:hAnsi="Arial" w:cs="Arial"/>
        </w:rPr>
        <w:t xml:space="preserve"> Según se define en el Informe Propuesta aprobado por la </w:t>
      </w:r>
      <w:r w:rsidR="00AD4B8A" w:rsidRPr="006D2EE8">
        <w:rPr>
          <w:rFonts w:ascii="Arial" w:hAnsi="Arial" w:cs="Arial"/>
        </w:rPr>
        <w:t>r</w:t>
      </w:r>
      <w:r w:rsidRPr="006D2EE8">
        <w:rPr>
          <w:rFonts w:ascii="Arial" w:hAnsi="Arial" w:cs="Arial"/>
        </w:rPr>
        <w:t xml:space="preserve">esolución objeto de la presente vigilancia, los </w:t>
      </w:r>
      <w:proofErr w:type="spellStart"/>
      <w:r w:rsidRPr="006D2EE8">
        <w:rPr>
          <w:rFonts w:ascii="Arial" w:hAnsi="Arial" w:cs="Arial"/>
        </w:rPr>
        <w:t>TPVs</w:t>
      </w:r>
      <w:proofErr w:type="spellEnd"/>
      <w:r w:rsidRPr="006D2EE8">
        <w:rPr>
          <w:rFonts w:ascii="Arial" w:hAnsi="Arial" w:cs="Arial"/>
        </w:rPr>
        <w:t xml:space="preserve"> son aquellos instrumentos de pago emitidos a favor de una persona física o jurídica que permiten la posibilidad de realizar transacciones comerciales sin la presencia de dinero físico en aquellos establecimientos o negocios vinculados al sistema de pago al que pertenece una determinada tarjeta.</w:t>
      </w:r>
    </w:p>
  </w:footnote>
  <w:footnote w:id="3">
    <w:p w14:paraId="0482FA0D" w14:textId="77777777" w:rsidR="009F07BF" w:rsidRPr="006D2EE8" w:rsidRDefault="009F07BF" w:rsidP="006D2EE8">
      <w:pPr>
        <w:pStyle w:val="Textonotapie"/>
        <w:spacing w:after="60"/>
        <w:ind w:left="142" w:hanging="142"/>
        <w:jc w:val="both"/>
        <w:rPr>
          <w:rFonts w:ascii="Arial" w:hAnsi="Arial" w:cs="Arial"/>
        </w:rPr>
      </w:pPr>
      <w:r w:rsidRPr="006D2EE8">
        <w:rPr>
          <w:rStyle w:val="Refdenotaalpie"/>
          <w:rFonts w:ascii="Arial" w:hAnsi="Arial" w:cs="Arial"/>
        </w:rPr>
        <w:footnoteRef/>
      </w:r>
      <w:r w:rsidRPr="006D2EE8">
        <w:rPr>
          <w:rFonts w:ascii="Arial" w:hAnsi="Arial" w:cs="Arial"/>
        </w:rPr>
        <w:t xml:space="preserve"> Por ejemplo, folio 479.</w:t>
      </w:r>
    </w:p>
  </w:footnote>
  <w:footnote w:id="4">
    <w:p w14:paraId="2FBF6877" w14:textId="6836EFA6" w:rsidR="009F07BF" w:rsidRPr="006D2EE8" w:rsidRDefault="009F07BF" w:rsidP="006D2EE8">
      <w:pPr>
        <w:pStyle w:val="Textonotapie"/>
        <w:spacing w:after="60"/>
        <w:ind w:left="142" w:hanging="142"/>
        <w:jc w:val="both"/>
        <w:rPr>
          <w:rFonts w:ascii="Arial" w:hAnsi="Arial" w:cs="Arial"/>
        </w:rPr>
      </w:pPr>
      <w:r w:rsidRPr="006D2EE8">
        <w:rPr>
          <w:rStyle w:val="Refdenotaalpie"/>
          <w:rFonts w:ascii="Arial" w:hAnsi="Arial" w:cs="Arial"/>
        </w:rPr>
        <w:footnoteRef/>
      </w:r>
      <w:r w:rsidRPr="006D2EE8">
        <w:rPr>
          <w:rFonts w:ascii="Arial" w:hAnsi="Arial" w:cs="Arial"/>
        </w:rPr>
        <w:t xml:space="preserve"> Esta previsión fue añadida por CAIXABANK, a requerimiento de la D</w:t>
      </w:r>
      <w:r w:rsidR="00F66D47" w:rsidRPr="006D2EE8">
        <w:rPr>
          <w:rFonts w:ascii="Arial" w:hAnsi="Arial" w:cs="Arial"/>
        </w:rPr>
        <w:t xml:space="preserve">C </w:t>
      </w:r>
      <w:r w:rsidRPr="006D2EE8">
        <w:rPr>
          <w:rFonts w:ascii="Arial" w:hAnsi="Arial" w:cs="Arial"/>
        </w:rPr>
        <w:t>(previa comunicación informal a la Sala de Competencia de la CNMC), después de la revisión preliminar de los borradores de comunicaciones a clientes que fueron facilitados por la entidad financiera con anterioridad a la presentación formal de las mismas.</w:t>
      </w:r>
    </w:p>
  </w:footnote>
  <w:footnote w:id="5">
    <w:p w14:paraId="5E1BFC2D" w14:textId="2CED140E" w:rsidR="00E32ACB" w:rsidRPr="006D2EE8" w:rsidRDefault="00E32ACB" w:rsidP="006D2EE8">
      <w:pPr>
        <w:pStyle w:val="Textonotapie"/>
        <w:spacing w:after="60"/>
        <w:ind w:left="142" w:hanging="142"/>
        <w:jc w:val="both"/>
        <w:rPr>
          <w:rFonts w:ascii="Arial" w:hAnsi="Arial" w:cs="Arial"/>
        </w:rPr>
      </w:pPr>
      <w:r w:rsidRPr="006D2EE8">
        <w:rPr>
          <w:rStyle w:val="Refdenotaalpie"/>
          <w:rFonts w:ascii="Arial" w:hAnsi="Arial" w:cs="Arial"/>
        </w:rPr>
        <w:footnoteRef/>
      </w:r>
      <w:r w:rsidRPr="006D2EE8">
        <w:rPr>
          <w:rFonts w:ascii="Arial" w:hAnsi="Arial" w:cs="Arial"/>
        </w:rPr>
        <w:t xml:space="preserve"> Esta previsión fue añadida por CAIXABANK, a requerimiento de la D</w:t>
      </w:r>
      <w:r w:rsidR="00C67C4A" w:rsidRPr="006D2EE8">
        <w:rPr>
          <w:rFonts w:ascii="Arial" w:hAnsi="Arial" w:cs="Arial"/>
        </w:rPr>
        <w:t>C</w:t>
      </w:r>
      <w:r w:rsidRPr="006D2EE8">
        <w:rPr>
          <w:rFonts w:ascii="Arial" w:hAnsi="Arial" w:cs="Arial"/>
        </w:rPr>
        <w:t xml:space="preserve"> (previa comunicación informal a la Sala de Competencia de la CNMC), después de la revisión preliminar de los borradores de comunicaciones a clientes que fueron facilitados por la entidad financiera con anterioridad a la presentación formal de las mismas, y se encuentra en línea con los criterios establecidos por la referida </w:t>
      </w:r>
      <w:r w:rsidR="00AD4B8A" w:rsidRPr="006D2EE8">
        <w:rPr>
          <w:rFonts w:ascii="Arial" w:hAnsi="Arial" w:cs="Arial"/>
        </w:rPr>
        <w:t>r</w:t>
      </w:r>
      <w:r w:rsidRPr="006D2EE8">
        <w:rPr>
          <w:rFonts w:ascii="Arial" w:hAnsi="Arial" w:cs="Arial"/>
        </w:rPr>
        <w:t>esolución de 8 de junio de 2021.</w:t>
      </w:r>
    </w:p>
  </w:footnote>
  <w:footnote w:id="6">
    <w:p w14:paraId="72A62EC0" w14:textId="682C6EF8" w:rsidR="00E32ACB" w:rsidRPr="006D2EE8" w:rsidRDefault="00E32ACB" w:rsidP="006D2EE8">
      <w:pPr>
        <w:pStyle w:val="Textonotapie"/>
        <w:spacing w:after="60"/>
        <w:ind w:left="142" w:hanging="142"/>
        <w:jc w:val="both"/>
        <w:rPr>
          <w:rFonts w:ascii="Arial" w:hAnsi="Arial" w:cs="Arial"/>
        </w:rPr>
      </w:pPr>
      <w:r w:rsidRPr="006D2EE8">
        <w:rPr>
          <w:rStyle w:val="Refdenotaalpie"/>
          <w:rFonts w:ascii="Arial" w:hAnsi="Arial" w:cs="Arial"/>
        </w:rPr>
        <w:footnoteRef/>
      </w:r>
      <w:r w:rsidRPr="006D2EE8">
        <w:rPr>
          <w:rFonts w:ascii="Arial" w:hAnsi="Arial" w:cs="Arial"/>
        </w:rPr>
        <w:t xml:space="preserve"> Facilitadas por CAIXABANK a petición de </w:t>
      </w:r>
      <w:r w:rsidR="00C67C4A" w:rsidRPr="006D2EE8">
        <w:rPr>
          <w:rFonts w:ascii="Arial" w:hAnsi="Arial" w:cs="Arial"/>
        </w:rPr>
        <w:t xml:space="preserve">la </w:t>
      </w:r>
      <w:r w:rsidRPr="006D2EE8">
        <w:rPr>
          <w:rFonts w:ascii="Arial" w:hAnsi="Arial" w:cs="Arial"/>
        </w:rPr>
        <w:t>D</w:t>
      </w:r>
      <w:r w:rsidR="00C67C4A" w:rsidRPr="006D2EE8">
        <w:rPr>
          <w:rFonts w:ascii="Arial" w:hAnsi="Arial" w:cs="Arial"/>
        </w:rPr>
        <w:t xml:space="preserve">C </w:t>
      </w:r>
      <w:r w:rsidRPr="006D2EE8">
        <w:rPr>
          <w:rFonts w:ascii="Arial" w:hAnsi="Arial" w:cs="Arial"/>
        </w:rPr>
        <w:t>tras el análisis preliminar de los borradores de comunicaciones facilitados por la primera con anterioridad a la presentación formal de las mismas.</w:t>
      </w:r>
    </w:p>
  </w:footnote>
  <w:footnote w:id="7">
    <w:p w14:paraId="6C5C64DF" w14:textId="77777777" w:rsidR="00E32ACB" w:rsidRPr="006D2EE8" w:rsidRDefault="00E32ACB" w:rsidP="006D2EE8">
      <w:pPr>
        <w:pStyle w:val="Textonotapie"/>
        <w:spacing w:after="60"/>
        <w:ind w:left="142" w:hanging="142"/>
        <w:rPr>
          <w:rFonts w:ascii="Arial" w:hAnsi="Arial" w:cs="Arial"/>
        </w:rPr>
      </w:pPr>
      <w:r w:rsidRPr="006D2EE8">
        <w:rPr>
          <w:rStyle w:val="Refdenotaalpie"/>
          <w:rFonts w:ascii="Arial" w:hAnsi="Arial" w:cs="Arial"/>
        </w:rPr>
        <w:footnoteRef/>
      </w:r>
      <w:r w:rsidRPr="006D2EE8">
        <w:rPr>
          <w:rFonts w:ascii="Arial" w:hAnsi="Arial" w:cs="Arial"/>
        </w:rPr>
        <w:t xml:space="preserve"> A tales efectos, este derecho de opción por las tarifas anteriores debe ejercitarse en el plazo de 6 meses desde la recepción de la comunicación (folio 542).</w:t>
      </w:r>
    </w:p>
  </w:footnote>
  <w:footnote w:id="8">
    <w:p w14:paraId="444C7D13" w14:textId="77777777" w:rsidR="00E32ACB" w:rsidRPr="006D2EE8" w:rsidRDefault="00E32ACB" w:rsidP="006D2EE8">
      <w:pPr>
        <w:pStyle w:val="Textonotapie"/>
        <w:spacing w:after="60" w:line="480" w:lineRule="auto"/>
        <w:ind w:left="142" w:hanging="142"/>
        <w:jc w:val="both"/>
        <w:rPr>
          <w:rFonts w:ascii="Arial" w:hAnsi="Arial" w:cs="Arial"/>
        </w:rPr>
      </w:pPr>
      <w:r w:rsidRPr="006D2EE8">
        <w:rPr>
          <w:rStyle w:val="Refdenotaalpie"/>
          <w:rFonts w:ascii="Arial" w:hAnsi="Arial" w:cs="Arial"/>
        </w:rPr>
        <w:footnoteRef/>
      </w:r>
      <w:r w:rsidRPr="006D2EE8">
        <w:rPr>
          <w:rFonts w:ascii="Arial" w:hAnsi="Arial" w:cs="Arial"/>
        </w:rPr>
        <w:t xml:space="preserve"> Por ejemplo, los servicios </w:t>
      </w:r>
      <w:proofErr w:type="spellStart"/>
      <w:r w:rsidRPr="006D2EE8">
        <w:rPr>
          <w:rFonts w:ascii="Arial" w:hAnsi="Arial" w:cs="Arial"/>
        </w:rPr>
        <w:t>Apl@za</w:t>
      </w:r>
      <w:proofErr w:type="spellEnd"/>
      <w:r w:rsidRPr="006D2EE8">
        <w:rPr>
          <w:rFonts w:ascii="Arial" w:hAnsi="Arial" w:cs="Arial"/>
        </w:rPr>
        <w:t xml:space="preserve">, </w:t>
      </w:r>
      <w:proofErr w:type="spellStart"/>
      <w:r w:rsidRPr="006D2EE8">
        <w:rPr>
          <w:rFonts w:ascii="Arial" w:hAnsi="Arial" w:cs="Arial"/>
        </w:rPr>
        <w:t>ExencionesPaygold</w:t>
      </w:r>
      <w:proofErr w:type="spellEnd"/>
      <w:r w:rsidRPr="006D2EE8">
        <w:rPr>
          <w:rFonts w:ascii="Arial" w:hAnsi="Arial" w:cs="Arial"/>
        </w:rPr>
        <w:t>. (folio 474).</w:t>
      </w:r>
    </w:p>
  </w:footnote>
  <w:footnote w:id="9">
    <w:p w14:paraId="079A79D7" w14:textId="77777777" w:rsidR="00E32ACB" w:rsidRPr="006D2EE8" w:rsidRDefault="00E32ACB" w:rsidP="006D2EE8">
      <w:pPr>
        <w:pStyle w:val="Textonotapie"/>
        <w:spacing w:after="60"/>
        <w:ind w:left="142" w:hanging="142"/>
        <w:jc w:val="both"/>
        <w:rPr>
          <w:rFonts w:ascii="Arial" w:hAnsi="Arial" w:cs="Arial"/>
        </w:rPr>
      </w:pPr>
      <w:r w:rsidRPr="006D2EE8">
        <w:rPr>
          <w:rStyle w:val="Refdenotaalpie"/>
          <w:rFonts w:ascii="Arial" w:hAnsi="Arial" w:cs="Arial"/>
        </w:rPr>
        <w:footnoteRef/>
      </w:r>
      <w:r w:rsidRPr="006D2EE8">
        <w:rPr>
          <w:rFonts w:ascii="Arial" w:hAnsi="Arial" w:cs="Arial"/>
        </w:rPr>
        <w:t xml:space="preserve"> A efectos clarificadores, el escrito analizado incluye la siguiente referencia con carácter previo a la tabla comparativa (folio 506):</w:t>
      </w:r>
    </w:p>
    <w:p w14:paraId="4C40E0BB" w14:textId="77777777" w:rsidR="00E32ACB" w:rsidRPr="006D2EE8" w:rsidRDefault="00E32ACB" w:rsidP="006D2EE8">
      <w:pPr>
        <w:pStyle w:val="Textonotapie"/>
        <w:spacing w:after="60"/>
        <w:ind w:left="142" w:hanging="142"/>
        <w:jc w:val="both"/>
        <w:rPr>
          <w:rFonts w:ascii="Arial" w:hAnsi="Arial" w:cs="Arial"/>
        </w:rPr>
      </w:pPr>
      <w:r w:rsidRPr="006D2EE8">
        <w:rPr>
          <w:rFonts w:ascii="Arial" w:hAnsi="Arial" w:cs="Arial"/>
        </w:rPr>
        <w:tab/>
        <w:t>“</w:t>
      </w:r>
      <w:r w:rsidRPr="006D2EE8">
        <w:rPr>
          <w:rFonts w:ascii="Arial" w:hAnsi="Arial" w:cs="Arial"/>
          <w:i/>
          <w:iCs/>
        </w:rPr>
        <w:t xml:space="preserve">Para una mejor comprensión de los cambios le señalamos la comparación entre las condiciones que le aplican a sus </w:t>
      </w:r>
      <w:proofErr w:type="spellStart"/>
      <w:r w:rsidRPr="006D2EE8">
        <w:rPr>
          <w:rFonts w:ascii="Arial" w:hAnsi="Arial" w:cs="Arial"/>
          <w:i/>
          <w:iCs/>
        </w:rPr>
        <w:t>TPVs</w:t>
      </w:r>
      <w:proofErr w:type="spellEnd"/>
      <w:r w:rsidRPr="006D2EE8">
        <w:rPr>
          <w:rFonts w:ascii="Arial" w:hAnsi="Arial" w:cs="Arial"/>
          <w:i/>
          <w:iCs/>
        </w:rPr>
        <w:t xml:space="preserve"> Bankia y las que le aplicarán a todos sus </w:t>
      </w:r>
      <w:proofErr w:type="spellStart"/>
      <w:r w:rsidRPr="006D2EE8">
        <w:rPr>
          <w:rFonts w:ascii="Arial" w:hAnsi="Arial" w:cs="Arial"/>
          <w:i/>
          <w:iCs/>
        </w:rPr>
        <w:t>TPVs</w:t>
      </w:r>
      <w:proofErr w:type="spellEnd"/>
      <w:r w:rsidRPr="006D2EE8">
        <w:rPr>
          <w:rFonts w:ascii="Arial" w:hAnsi="Arial" w:cs="Arial"/>
          <w:i/>
          <w:iCs/>
        </w:rPr>
        <w:t xml:space="preserve">, origen Bankia y origen Comercia Global </w:t>
      </w:r>
      <w:proofErr w:type="spellStart"/>
      <w:r w:rsidRPr="006D2EE8">
        <w:rPr>
          <w:rFonts w:ascii="Arial" w:hAnsi="Arial" w:cs="Arial"/>
          <w:i/>
          <w:iCs/>
        </w:rPr>
        <w:t>Payments</w:t>
      </w:r>
      <w:proofErr w:type="spellEnd"/>
      <w:r w:rsidRPr="006D2EE8">
        <w:rPr>
          <w:rFonts w:ascii="Arial" w:hAnsi="Arial" w:cs="Arial"/>
          <w:i/>
          <w:iCs/>
        </w:rPr>
        <w:t>, a partir de la Fecha de Efectos</w:t>
      </w:r>
      <w:r w:rsidRPr="006D2EE8">
        <w:rPr>
          <w:rFonts w:ascii="Arial" w:hAnsi="Arial" w:cs="Arial"/>
          <w:iCs/>
        </w:rPr>
        <w:t>”.</w:t>
      </w:r>
    </w:p>
  </w:footnote>
  <w:footnote w:id="10">
    <w:p w14:paraId="204DA6FE" w14:textId="77777777" w:rsidR="00E32ACB" w:rsidRPr="006D2EE8" w:rsidRDefault="00E32ACB" w:rsidP="006D2EE8">
      <w:pPr>
        <w:pStyle w:val="Textonotapie"/>
        <w:spacing w:after="60"/>
        <w:ind w:left="142" w:hanging="142"/>
        <w:jc w:val="both"/>
        <w:rPr>
          <w:rFonts w:ascii="Arial" w:hAnsi="Arial" w:cs="Arial"/>
        </w:rPr>
      </w:pPr>
      <w:r w:rsidRPr="006D2EE8">
        <w:rPr>
          <w:rStyle w:val="Refdenotaalpie"/>
          <w:rFonts w:ascii="Arial" w:hAnsi="Arial" w:cs="Arial"/>
        </w:rPr>
        <w:footnoteRef/>
      </w:r>
      <w:r w:rsidRPr="006D2EE8">
        <w:rPr>
          <w:rFonts w:ascii="Arial" w:hAnsi="Arial" w:cs="Arial"/>
        </w:rPr>
        <w:t xml:space="preserve"> Para una mejor comprensión de las explicaciones facilitadas en relación con las comunicaciones de servicios de TPV “compartidos”, ver Anexo I del presente escrito, que incorpora la tabla facilitada por CAIXABANK en el marco del presente expediente a efectos aclaratorios (folio 478).</w:t>
      </w:r>
    </w:p>
  </w:footnote>
  <w:footnote w:id="11">
    <w:p w14:paraId="3EE3A001" w14:textId="77777777" w:rsidR="00E32ACB" w:rsidRPr="006D2EE8" w:rsidRDefault="00E32ACB" w:rsidP="006D2EE8">
      <w:pPr>
        <w:pStyle w:val="Textonotapie"/>
        <w:spacing w:after="60"/>
        <w:ind w:left="142" w:hanging="142"/>
        <w:jc w:val="both"/>
        <w:rPr>
          <w:rFonts w:ascii="Arial" w:hAnsi="Arial" w:cs="Arial"/>
        </w:rPr>
      </w:pPr>
      <w:r w:rsidRPr="006D2EE8">
        <w:rPr>
          <w:rStyle w:val="Refdenotaalpie"/>
          <w:rFonts w:ascii="Arial" w:hAnsi="Arial" w:cs="Arial"/>
        </w:rPr>
        <w:footnoteRef/>
      </w:r>
      <w:r w:rsidRPr="006D2EE8">
        <w:rPr>
          <w:rFonts w:ascii="Arial" w:hAnsi="Arial" w:cs="Arial"/>
        </w:rPr>
        <w:t xml:space="preserve"> En cambio, en las comunicaciones relativas a servicios de TPV, se menciona de forma expresa que la fecha de integración de los sistemas operativos de las entidades fusionadas tendrá lugar el 12 de noviembre de 2021 (por ejemplo, folio 497).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7B3B3" w14:textId="77777777" w:rsidR="007F2B9C" w:rsidRDefault="007F2B9C" w:rsidP="00B21FAD">
    <w:pPr>
      <w:pStyle w:val="Encabezado"/>
      <w:tabs>
        <w:tab w:val="clear" w:pos="4252"/>
        <w:tab w:val="clear" w:pos="8504"/>
        <w:tab w:val="center" w:pos="4395"/>
        <w:tab w:val="left" w:pos="4820"/>
      </w:tabs>
      <w:ind w:hanging="709"/>
    </w:pPr>
    <w:r>
      <w:rPr>
        <w:noProof/>
        <w:lang w:eastAsia="es-ES"/>
      </w:rPr>
      <w:drawing>
        <wp:inline distT="0" distB="0" distL="0" distR="0" wp14:anchorId="6B4AB7D3" wp14:editId="2C7B1164">
          <wp:extent cx="2139254" cy="902526"/>
          <wp:effectExtent l="0" t="0" r="0" b="0"/>
          <wp:docPr id="2" name="Imagen 2" descr="D:\Users\ppanos\Pictures\cnmc_color300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panos\Pictures\cnmc_color300pp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529" cy="902642"/>
                  </a:xfrm>
                  <a:prstGeom prst="rect">
                    <a:avLst/>
                  </a:prstGeom>
                  <a:noFill/>
                  <a:ln>
                    <a:noFill/>
                  </a:ln>
                </pic:spPr>
              </pic:pic>
            </a:graphicData>
          </a:graphic>
        </wp:inline>
      </w:drawing>
    </w:r>
    <w:r>
      <w:tab/>
    </w:r>
    <w:r>
      <w:tab/>
    </w:r>
    <w:r>
      <w:tab/>
    </w:r>
    <w:r>
      <w:tab/>
    </w:r>
  </w:p>
  <w:p w14:paraId="67F58B1A" w14:textId="77777777" w:rsidR="007F2B9C" w:rsidRDefault="007F2B9C" w:rsidP="00BB0395">
    <w:pPr>
      <w:pStyle w:val="Encabezado"/>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FC2"/>
    <w:multiLevelType w:val="hybridMultilevel"/>
    <w:tmpl w:val="5AAC1240"/>
    <w:lvl w:ilvl="0" w:tplc="7C8EE044">
      <w:start w:val="1"/>
      <w:numFmt w:val="lowerRoman"/>
      <w:lvlText w:val="(%1)"/>
      <w:lvlJc w:val="righ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033D18"/>
    <w:multiLevelType w:val="hybridMultilevel"/>
    <w:tmpl w:val="30D6EFD0"/>
    <w:lvl w:ilvl="0" w:tplc="7A8A63B6">
      <w:start w:val="1"/>
      <w:numFmt w:val="decimal"/>
      <w:lvlText w:val="%1."/>
      <w:lvlJc w:val="left"/>
      <w:pPr>
        <w:ind w:left="720" w:hanging="360"/>
      </w:pPr>
      <w:rPr>
        <w:rFonts w:ascii="Arial" w:hAnsi="Arial" w:cs="Arial" w:hint="default"/>
        <w:i w:val="0"/>
        <w:color w:val="auto"/>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D466EE1"/>
    <w:multiLevelType w:val="hybridMultilevel"/>
    <w:tmpl w:val="47E2099C"/>
    <w:lvl w:ilvl="0" w:tplc="F5EE4764">
      <w:start w:val="1"/>
      <w:numFmt w:val="bullet"/>
      <w:lvlText w:val=""/>
      <w:lvlJc w:val="left"/>
      <w:pPr>
        <w:ind w:left="721" w:hanging="360"/>
      </w:pPr>
      <w:rPr>
        <w:rFonts w:ascii="Symbol" w:hAnsi="Symbol"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3" w15:restartNumberingAfterBreak="0">
    <w:nsid w:val="0E092719"/>
    <w:multiLevelType w:val="hybridMultilevel"/>
    <w:tmpl w:val="5B0EB57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FF14FDA"/>
    <w:multiLevelType w:val="hybridMultilevel"/>
    <w:tmpl w:val="DAE6270C"/>
    <w:lvl w:ilvl="0" w:tplc="492A2B06">
      <w:start w:val="5"/>
      <w:numFmt w:val="bullet"/>
      <w:lvlText w:val="-"/>
      <w:lvlJc w:val="left"/>
      <w:pPr>
        <w:ind w:left="720" w:hanging="360"/>
      </w:pPr>
      <w:rPr>
        <w:rFonts w:ascii="Arial" w:eastAsia="Corbe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36F05"/>
    <w:multiLevelType w:val="hybridMultilevel"/>
    <w:tmpl w:val="2A4E7FE0"/>
    <w:lvl w:ilvl="0" w:tplc="272AD540">
      <w:start w:val="1"/>
      <w:numFmt w:val="lowerLetter"/>
      <w:lvlText w:val="%1)"/>
      <w:lvlJc w:val="left"/>
      <w:pPr>
        <w:ind w:left="1855" w:hanging="360"/>
      </w:pPr>
      <w:rPr>
        <w:b/>
        <w:i/>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6" w15:restartNumberingAfterBreak="0">
    <w:nsid w:val="12352CBF"/>
    <w:multiLevelType w:val="hybridMultilevel"/>
    <w:tmpl w:val="9DD0D782"/>
    <w:lvl w:ilvl="0" w:tplc="8B4C5224">
      <w:start w:val="1"/>
      <w:numFmt w:val="bullet"/>
      <w:lvlText w:val=""/>
      <w:lvlJc w:val="left"/>
      <w:pPr>
        <w:ind w:left="855" w:hanging="360"/>
      </w:pPr>
      <w:rPr>
        <w:rFonts w:ascii="Symbol" w:hAnsi="Symbo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7" w15:restartNumberingAfterBreak="0">
    <w:nsid w:val="158A1228"/>
    <w:multiLevelType w:val="hybridMultilevel"/>
    <w:tmpl w:val="7EBA1794"/>
    <w:lvl w:ilvl="0" w:tplc="019C1E4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944BB"/>
    <w:multiLevelType w:val="hybridMultilevel"/>
    <w:tmpl w:val="0A5E0058"/>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BB76724"/>
    <w:multiLevelType w:val="multilevel"/>
    <w:tmpl w:val="D9A412A4"/>
    <w:styleLink w:val="Estilo1"/>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6C62BC"/>
    <w:multiLevelType w:val="hybridMultilevel"/>
    <w:tmpl w:val="20AA5B88"/>
    <w:lvl w:ilvl="0" w:tplc="08D660DA">
      <w:start w:val="1"/>
      <w:numFmt w:val="lowerLetter"/>
      <w:lvlText w:val="%1)"/>
      <w:lvlJc w:val="left"/>
      <w:pPr>
        <w:ind w:left="1855" w:hanging="360"/>
      </w:pPr>
      <w:rPr>
        <w:b/>
        <w:i/>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11" w15:restartNumberingAfterBreak="0">
    <w:nsid w:val="1E7D4A13"/>
    <w:multiLevelType w:val="hybridMultilevel"/>
    <w:tmpl w:val="F608225A"/>
    <w:lvl w:ilvl="0" w:tplc="601EBD6A">
      <w:start w:val="1"/>
      <w:numFmt w:val="decimal"/>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2022791F"/>
    <w:multiLevelType w:val="hybridMultilevel"/>
    <w:tmpl w:val="098E0304"/>
    <w:lvl w:ilvl="0" w:tplc="4A8A1F52">
      <w:start w:val="6"/>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0A7AC5"/>
    <w:multiLevelType w:val="hybridMultilevel"/>
    <w:tmpl w:val="3FB0CA4C"/>
    <w:lvl w:ilvl="0" w:tplc="ED0A3638">
      <w:start w:val="1"/>
      <w:numFmt w:val="decimal"/>
      <w:lvlText w:val="(%1)"/>
      <w:lvlJc w:val="left"/>
      <w:pPr>
        <w:ind w:left="720"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2600FF"/>
    <w:multiLevelType w:val="multilevel"/>
    <w:tmpl w:val="0E2CFE04"/>
    <w:lvl w:ilvl="0">
      <w:start w:val="1"/>
      <w:numFmt w:val="decimal"/>
      <w:lvlText w:val="%1."/>
      <w:lvlJc w:val="left"/>
      <w:pPr>
        <w:ind w:left="786" w:hanging="360"/>
      </w:pPr>
      <w:rPr>
        <w:rFonts w:ascii="Arial" w:eastAsia="Corbel" w:hAnsi="Arial" w:cs="Arial"/>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60" w:hanging="360"/>
      </w:pPr>
    </w:lvl>
    <w:lvl w:ilvl="2">
      <w:start w:val="1"/>
      <w:numFmt w:val="lowerRoman"/>
      <w:lvlText w:val="%3."/>
      <w:lvlJc w:val="right"/>
      <w:pPr>
        <w:ind w:left="3580" w:hanging="180"/>
      </w:pPr>
    </w:lvl>
    <w:lvl w:ilvl="3">
      <w:start w:val="1"/>
      <w:numFmt w:val="decimal"/>
      <w:lvlText w:val="%4."/>
      <w:lvlJc w:val="left"/>
      <w:pPr>
        <w:ind w:left="4300" w:hanging="360"/>
      </w:pPr>
    </w:lvl>
    <w:lvl w:ilvl="4">
      <w:start w:val="1"/>
      <w:numFmt w:val="lowerLetter"/>
      <w:lvlText w:val="%5."/>
      <w:lvlJc w:val="left"/>
      <w:pPr>
        <w:ind w:left="5020" w:hanging="360"/>
      </w:pPr>
    </w:lvl>
    <w:lvl w:ilvl="5">
      <w:start w:val="1"/>
      <w:numFmt w:val="lowerRoman"/>
      <w:lvlText w:val="%6."/>
      <w:lvlJc w:val="right"/>
      <w:pPr>
        <w:ind w:left="5740" w:hanging="180"/>
      </w:pPr>
    </w:lvl>
    <w:lvl w:ilvl="6">
      <w:start w:val="1"/>
      <w:numFmt w:val="decimal"/>
      <w:lvlText w:val="%7."/>
      <w:lvlJc w:val="left"/>
      <w:pPr>
        <w:ind w:left="6460" w:hanging="360"/>
      </w:pPr>
    </w:lvl>
    <w:lvl w:ilvl="7">
      <w:start w:val="1"/>
      <w:numFmt w:val="lowerLetter"/>
      <w:lvlText w:val="%8."/>
      <w:lvlJc w:val="left"/>
      <w:pPr>
        <w:ind w:left="7180" w:hanging="360"/>
      </w:pPr>
    </w:lvl>
    <w:lvl w:ilvl="8">
      <w:start w:val="1"/>
      <w:numFmt w:val="lowerRoman"/>
      <w:lvlText w:val="%9."/>
      <w:lvlJc w:val="right"/>
      <w:pPr>
        <w:ind w:left="7900" w:hanging="180"/>
      </w:pPr>
    </w:lvl>
  </w:abstractNum>
  <w:abstractNum w:abstractNumId="15" w15:restartNumberingAfterBreak="0">
    <w:nsid w:val="2D967EB5"/>
    <w:multiLevelType w:val="hybridMultilevel"/>
    <w:tmpl w:val="4F9C61E8"/>
    <w:lvl w:ilvl="0" w:tplc="8B4C5224">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2ED85812"/>
    <w:multiLevelType w:val="hybridMultilevel"/>
    <w:tmpl w:val="D2604C08"/>
    <w:lvl w:ilvl="0" w:tplc="8C80B3F0">
      <w:start w:val="3"/>
      <w:numFmt w:val="bullet"/>
      <w:lvlText w:val="-"/>
      <w:lvlJc w:val="left"/>
      <w:pPr>
        <w:ind w:left="720" w:hanging="360"/>
      </w:pPr>
      <w:rPr>
        <w:rFonts w:ascii="Arial" w:eastAsia="Corbe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0E6FD9"/>
    <w:multiLevelType w:val="hybridMultilevel"/>
    <w:tmpl w:val="70726872"/>
    <w:lvl w:ilvl="0" w:tplc="DA92C756">
      <w:start w:val="1"/>
      <w:numFmt w:val="bullet"/>
      <w:lvlText w:val="-"/>
      <w:lvlJc w:val="left"/>
      <w:pPr>
        <w:ind w:left="1287" w:hanging="360"/>
      </w:pPr>
      <w:rPr>
        <w:rFonts w:ascii="Calibri" w:eastAsia="Calibri" w:hAnsi="Calibri" w:cs="Symbol" w:hint="default"/>
        <w:b w:val="0"/>
        <w:i/>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2F342154"/>
    <w:multiLevelType w:val="hybridMultilevel"/>
    <w:tmpl w:val="D522169C"/>
    <w:lvl w:ilvl="0" w:tplc="5FFE0E82">
      <w:start w:val="1"/>
      <w:numFmt w:val="decimal"/>
      <w:lvlText w:val="%1."/>
      <w:lvlJc w:val="left"/>
      <w:pPr>
        <w:ind w:left="720" w:hanging="360"/>
      </w:pPr>
      <w:rPr>
        <w:rFonts w:ascii="Corbel" w:eastAsia="Corbel" w:hAnsi="Corbel"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8A7238"/>
    <w:multiLevelType w:val="hybridMultilevel"/>
    <w:tmpl w:val="54EC755A"/>
    <w:lvl w:ilvl="0" w:tplc="A32A0A56">
      <w:start w:val="3"/>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07675C"/>
    <w:multiLevelType w:val="hybridMultilevel"/>
    <w:tmpl w:val="FCF278C4"/>
    <w:lvl w:ilvl="0" w:tplc="DA92C756">
      <w:start w:val="1"/>
      <w:numFmt w:val="bullet"/>
      <w:lvlText w:val="-"/>
      <w:lvlJc w:val="left"/>
      <w:pPr>
        <w:ind w:left="720" w:hanging="360"/>
      </w:pPr>
      <w:rPr>
        <w:rFonts w:ascii="Calibri" w:eastAsia="Calibri" w:hAnsi="Calibri" w:cs="Symbol" w:hint="default"/>
        <w:b w:val="0"/>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23F58C3"/>
    <w:multiLevelType w:val="hybridMultilevel"/>
    <w:tmpl w:val="147679E2"/>
    <w:lvl w:ilvl="0" w:tplc="58820E9E">
      <w:start w:val="1"/>
      <w:numFmt w:val="decimal"/>
      <w:lvlText w:val="%1."/>
      <w:lvlJc w:val="left"/>
      <w:pPr>
        <w:ind w:left="720" w:hanging="360"/>
      </w:pPr>
      <w:rPr>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234FD8"/>
    <w:multiLevelType w:val="hybridMultilevel"/>
    <w:tmpl w:val="21C850BC"/>
    <w:lvl w:ilvl="0" w:tplc="BB7E59E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11597B"/>
    <w:multiLevelType w:val="hybridMultilevel"/>
    <w:tmpl w:val="181C3ECC"/>
    <w:lvl w:ilvl="0" w:tplc="65D8AA94">
      <w:start w:val="1"/>
      <w:numFmt w:val="decimal"/>
      <w:lvlText w:val="%1."/>
      <w:lvlJc w:val="left"/>
      <w:pPr>
        <w:ind w:left="360" w:hanging="360"/>
      </w:pPr>
      <w:rPr>
        <w:rFonts w:ascii="Arial" w:hAnsi="Arial" w:cs="Arial" w:hint="default"/>
        <w:i w:val="0"/>
        <w:color w:val="auto"/>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9CA1C64"/>
    <w:multiLevelType w:val="hybridMultilevel"/>
    <w:tmpl w:val="7E6EBA5E"/>
    <w:lvl w:ilvl="0" w:tplc="5BF8B346">
      <w:start w:val="1"/>
      <w:numFmt w:val="lowerRoman"/>
      <w:lvlText w:val="(%1)"/>
      <w:lvlJc w:val="right"/>
      <w:pPr>
        <w:ind w:left="1287" w:hanging="360"/>
      </w:pPr>
      <w:rPr>
        <w:rFonts w:hint="default"/>
        <w:i/>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15:restartNumberingAfterBreak="0">
    <w:nsid w:val="4A6C66BA"/>
    <w:multiLevelType w:val="hybridMultilevel"/>
    <w:tmpl w:val="6630B5AC"/>
    <w:lvl w:ilvl="0" w:tplc="8B4C5224">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4C117BFA"/>
    <w:multiLevelType w:val="hybridMultilevel"/>
    <w:tmpl w:val="060A0F04"/>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15:restartNumberingAfterBreak="0">
    <w:nsid w:val="4F605016"/>
    <w:multiLevelType w:val="hybridMultilevel"/>
    <w:tmpl w:val="39E43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6C7B2A"/>
    <w:multiLevelType w:val="hybridMultilevel"/>
    <w:tmpl w:val="B33465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15:restartNumberingAfterBreak="0">
    <w:nsid w:val="54FE6B33"/>
    <w:multiLevelType w:val="hybridMultilevel"/>
    <w:tmpl w:val="AA8ADC1A"/>
    <w:lvl w:ilvl="0" w:tplc="0C0A000D">
      <w:start w:val="1"/>
      <w:numFmt w:val="bullet"/>
      <w:lvlText w:val=""/>
      <w:lvlJc w:val="left"/>
      <w:pPr>
        <w:ind w:left="719" w:hanging="360"/>
      </w:pPr>
      <w:rPr>
        <w:rFonts w:ascii="Wingdings" w:hAnsi="Wingding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30" w15:restartNumberingAfterBreak="0">
    <w:nsid w:val="57B5078B"/>
    <w:multiLevelType w:val="hybridMultilevel"/>
    <w:tmpl w:val="30D6EFD0"/>
    <w:lvl w:ilvl="0" w:tplc="7A8A63B6">
      <w:start w:val="1"/>
      <w:numFmt w:val="decimal"/>
      <w:lvlText w:val="%1."/>
      <w:lvlJc w:val="left"/>
      <w:pPr>
        <w:ind w:left="720" w:hanging="360"/>
      </w:pPr>
      <w:rPr>
        <w:rFonts w:ascii="Arial" w:hAnsi="Arial" w:cs="Arial" w:hint="default"/>
        <w:i w:val="0"/>
        <w:color w:val="auto"/>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598342E9"/>
    <w:multiLevelType w:val="hybridMultilevel"/>
    <w:tmpl w:val="F608225A"/>
    <w:lvl w:ilvl="0" w:tplc="601EBD6A">
      <w:start w:val="1"/>
      <w:numFmt w:val="decimal"/>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15:restartNumberingAfterBreak="0">
    <w:nsid w:val="5ADC68DD"/>
    <w:multiLevelType w:val="hybridMultilevel"/>
    <w:tmpl w:val="543AAC06"/>
    <w:lvl w:ilvl="0" w:tplc="D62024C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238507C"/>
    <w:multiLevelType w:val="hybridMultilevel"/>
    <w:tmpl w:val="7FE87AC0"/>
    <w:lvl w:ilvl="0" w:tplc="9330294C">
      <w:start w:val="1"/>
      <w:numFmt w:val="upperRoman"/>
      <w:lvlText w:val="%1."/>
      <w:lvlJc w:val="left"/>
      <w:pPr>
        <w:ind w:left="72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F54BCA"/>
    <w:multiLevelType w:val="hybridMultilevel"/>
    <w:tmpl w:val="9B1850E4"/>
    <w:lvl w:ilvl="0" w:tplc="ED0A3638">
      <w:start w:val="1"/>
      <w:numFmt w:val="decimal"/>
      <w:lvlText w:val="(%1)"/>
      <w:lvlJc w:val="left"/>
      <w:pPr>
        <w:ind w:left="720"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C17919"/>
    <w:multiLevelType w:val="hybridMultilevel"/>
    <w:tmpl w:val="13BEC36C"/>
    <w:lvl w:ilvl="0" w:tplc="E6665D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F32EE7"/>
    <w:multiLevelType w:val="hybridMultilevel"/>
    <w:tmpl w:val="3190C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8D1D55"/>
    <w:multiLevelType w:val="hybridMultilevel"/>
    <w:tmpl w:val="19623F2A"/>
    <w:lvl w:ilvl="0" w:tplc="AB94EB7C">
      <w:start w:val="1"/>
      <w:numFmt w:val="decimal"/>
      <w:pStyle w:val="6NormalNumerad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A81D25"/>
    <w:multiLevelType w:val="hybridMultilevel"/>
    <w:tmpl w:val="9AAE94A0"/>
    <w:lvl w:ilvl="0" w:tplc="0C0A000D">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num w:numId="1">
    <w:abstractNumId w:val="1"/>
  </w:num>
  <w:num w:numId="2">
    <w:abstractNumId w:val="37"/>
  </w:num>
  <w:num w:numId="3">
    <w:abstractNumId w:val="9"/>
  </w:num>
  <w:num w:numId="4">
    <w:abstractNumId w:val="33"/>
  </w:num>
  <w:num w:numId="5">
    <w:abstractNumId w:val="29"/>
  </w:num>
  <w:num w:numId="6">
    <w:abstractNumId w:val="20"/>
  </w:num>
  <w:num w:numId="7">
    <w:abstractNumId w:val="2"/>
  </w:num>
  <w:num w:numId="8">
    <w:abstractNumId w:val="17"/>
  </w:num>
  <w:num w:numId="9">
    <w:abstractNumId w:val="23"/>
  </w:num>
  <w:num w:numId="10">
    <w:abstractNumId w:val="32"/>
  </w:num>
  <w:num w:numId="11">
    <w:abstractNumId w:val="27"/>
  </w:num>
  <w:num w:numId="12">
    <w:abstractNumId w:val="19"/>
  </w:num>
  <w:num w:numId="13">
    <w:abstractNumId w:val="16"/>
  </w:num>
  <w:num w:numId="14">
    <w:abstractNumId w:val="14"/>
  </w:num>
  <w:num w:numId="15">
    <w:abstractNumId w:val="36"/>
  </w:num>
  <w:num w:numId="16">
    <w:abstractNumId w:val="30"/>
  </w:num>
  <w:num w:numId="17">
    <w:abstractNumId w:val="3"/>
  </w:num>
  <w:num w:numId="18">
    <w:abstractNumId w:val="4"/>
  </w:num>
  <w:num w:numId="19">
    <w:abstractNumId w:val="35"/>
  </w:num>
  <w:num w:numId="20">
    <w:abstractNumId w:val="13"/>
  </w:num>
  <w:num w:numId="21">
    <w:abstractNumId w:val="18"/>
  </w:num>
  <w:num w:numId="22">
    <w:abstractNumId w:val="7"/>
  </w:num>
  <w:num w:numId="23">
    <w:abstractNumId w:val="12"/>
  </w:num>
  <w:num w:numId="24">
    <w:abstractNumId w:val="22"/>
  </w:num>
  <w:num w:numId="25">
    <w:abstractNumId w:val="24"/>
  </w:num>
  <w:num w:numId="26">
    <w:abstractNumId w:val="0"/>
  </w:num>
  <w:num w:numId="27">
    <w:abstractNumId w:val="21"/>
  </w:num>
  <w:num w:numId="28">
    <w:abstractNumId w:val="6"/>
  </w:num>
  <w:num w:numId="29">
    <w:abstractNumId w:val="8"/>
  </w:num>
  <w:num w:numId="30">
    <w:abstractNumId w:val="15"/>
  </w:num>
  <w:num w:numId="31">
    <w:abstractNumId w:val="34"/>
  </w:num>
  <w:num w:numId="32">
    <w:abstractNumId w:val="31"/>
  </w:num>
  <w:num w:numId="33">
    <w:abstractNumId w:val="11"/>
  </w:num>
  <w:num w:numId="34">
    <w:abstractNumId w:val="25"/>
  </w:num>
  <w:num w:numId="35">
    <w:abstractNumId w:val="26"/>
  </w:num>
  <w:num w:numId="36">
    <w:abstractNumId w:val="5"/>
  </w:num>
  <w:num w:numId="37">
    <w:abstractNumId w:val="10"/>
  </w:num>
  <w:num w:numId="38">
    <w:abstractNumId w:val="38"/>
  </w:num>
  <w:num w:numId="3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 w:vendorID="64" w:dllVersion="0" w:nlCheck="1" w:checkStyle="0"/>
  <w:activeWritingStyle w:appName="MSWord" w:lang="pt-BR"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95"/>
    <w:rsid w:val="00001133"/>
    <w:rsid w:val="00003ABA"/>
    <w:rsid w:val="00006EF3"/>
    <w:rsid w:val="0000775B"/>
    <w:rsid w:val="000117FD"/>
    <w:rsid w:val="00013422"/>
    <w:rsid w:val="00016701"/>
    <w:rsid w:val="000170C5"/>
    <w:rsid w:val="00017E3D"/>
    <w:rsid w:val="00021AE3"/>
    <w:rsid w:val="00022D3E"/>
    <w:rsid w:val="00030955"/>
    <w:rsid w:val="0003204C"/>
    <w:rsid w:val="00033D2C"/>
    <w:rsid w:val="000347B2"/>
    <w:rsid w:val="00035EC4"/>
    <w:rsid w:val="00040423"/>
    <w:rsid w:val="0004066E"/>
    <w:rsid w:val="00041D6B"/>
    <w:rsid w:val="0004306A"/>
    <w:rsid w:val="000504A5"/>
    <w:rsid w:val="00060FCD"/>
    <w:rsid w:val="000618B1"/>
    <w:rsid w:val="0006235B"/>
    <w:rsid w:val="00063C2A"/>
    <w:rsid w:val="00064009"/>
    <w:rsid w:val="00065AA9"/>
    <w:rsid w:val="00066424"/>
    <w:rsid w:val="000707CE"/>
    <w:rsid w:val="00072ED5"/>
    <w:rsid w:val="00075CAC"/>
    <w:rsid w:val="00075FDB"/>
    <w:rsid w:val="0007612C"/>
    <w:rsid w:val="00080342"/>
    <w:rsid w:val="0008188E"/>
    <w:rsid w:val="000821B2"/>
    <w:rsid w:val="00091E74"/>
    <w:rsid w:val="00092834"/>
    <w:rsid w:val="00095599"/>
    <w:rsid w:val="000965E1"/>
    <w:rsid w:val="000A2198"/>
    <w:rsid w:val="000A2D15"/>
    <w:rsid w:val="000A2F7E"/>
    <w:rsid w:val="000A4843"/>
    <w:rsid w:val="000A4DC2"/>
    <w:rsid w:val="000A5CA8"/>
    <w:rsid w:val="000A650F"/>
    <w:rsid w:val="000B153D"/>
    <w:rsid w:val="000B1A48"/>
    <w:rsid w:val="000B7A91"/>
    <w:rsid w:val="000C22C1"/>
    <w:rsid w:val="000C303F"/>
    <w:rsid w:val="000C65C4"/>
    <w:rsid w:val="000D052C"/>
    <w:rsid w:val="000D4613"/>
    <w:rsid w:val="000D59F2"/>
    <w:rsid w:val="000D5A45"/>
    <w:rsid w:val="000D799E"/>
    <w:rsid w:val="000E1072"/>
    <w:rsid w:val="000E7450"/>
    <w:rsid w:val="000F1576"/>
    <w:rsid w:val="000F4AD9"/>
    <w:rsid w:val="000F69C0"/>
    <w:rsid w:val="00100091"/>
    <w:rsid w:val="00103D23"/>
    <w:rsid w:val="001043DC"/>
    <w:rsid w:val="001068DB"/>
    <w:rsid w:val="00112CB2"/>
    <w:rsid w:val="001158AC"/>
    <w:rsid w:val="001176F3"/>
    <w:rsid w:val="00124377"/>
    <w:rsid w:val="00125847"/>
    <w:rsid w:val="00131C36"/>
    <w:rsid w:val="00133A76"/>
    <w:rsid w:val="001341A6"/>
    <w:rsid w:val="00150CB2"/>
    <w:rsid w:val="00152638"/>
    <w:rsid w:val="00152ACA"/>
    <w:rsid w:val="0015435D"/>
    <w:rsid w:val="00155571"/>
    <w:rsid w:val="00160E2B"/>
    <w:rsid w:val="00160FAA"/>
    <w:rsid w:val="00162EE0"/>
    <w:rsid w:val="00162FF4"/>
    <w:rsid w:val="00164144"/>
    <w:rsid w:val="001660AC"/>
    <w:rsid w:val="00166568"/>
    <w:rsid w:val="00166FEE"/>
    <w:rsid w:val="00171B07"/>
    <w:rsid w:val="001734E1"/>
    <w:rsid w:val="001751F9"/>
    <w:rsid w:val="00176872"/>
    <w:rsid w:val="00181003"/>
    <w:rsid w:val="00182BB1"/>
    <w:rsid w:val="001838DB"/>
    <w:rsid w:val="00183BBF"/>
    <w:rsid w:val="0018651E"/>
    <w:rsid w:val="00190C6E"/>
    <w:rsid w:val="00192986"/>
    <w:rsid w:val="00192A2D"/>
    <w:rsid w:val="001A06CE"/>
    <w:rsid w:val="001A0729"/>
    <w:rsid w:val="001A0C98"/>
    <w:rsid w:val="001A4A55"/>
    <w:rsid w:val="001B5893"/>
    <w:rsid w:val="001B5DE0"/>
    <w:rsid w:val="001B7F47"/>
    <w:rsid w:val="001C0953"/>
    <w:rsid w:val="001C0A37"/>
    <w:rsid w:val="001C51E8"/>
    <w:rsid w:val="001C7CAB"/>
    <w:rsid w:val="001D1A4D"/>
    <w:rsid w:val="001D1C10"/>
    <w:rsid w:val="001D5B74"/>
    <w:rsid w:val="001D6F53"/>
    <w:rsid w:val="001D78AB"/>
    <w:rsid w:val="001E07AA"/>
    <w:rsid w:val="001E5A01"/>
    <w:rsid w:val="001E5D24"/>
    <w:rsid w:val="001F1B21"/>
    <w:rsid w:val="001F29FB"/>
    <w:rsid w:val="001F35E4"/>
    <w:rsid w:val="001F6EEE"/>
    <w:rsid w:val="00213EC5"/>
    <w:rsid w:val="0021484D"/>
    <w:rsid w:val="002148D8"/>
    <w:rsid w:val="0021543E"/>
    <w:rsid w:val="00215F85"/>
    <w:rsid w:val="002179AC"/>
    <w:rsid w:val="002232A2"/>
    <w:rsid w:val="00224AEA"/>
    <w:rsid w:val="00224C9C"/>
    <w:rsid w:val="00225214"/>
    <w:rsid w:val="00225CB4"/>
    <w:rsid w:val="00226235"/>
    <w:rsid w:val="00227212"/>
    <w:rsid w:val="00231B9B"/>
    <w:rsid w:val="00234639"/>
    <w:rsid w:val="002356FF"/>
    <w:rsid w:val="002452E5"/>
    <w:rsid w:val="00245C39"/>
    <w:rsid w:val="00246831"/>
    <w:rsid w:val="0025002F"/>
    <w:rsid w:val="00251D07"/>
    <w:rsid w:val="002611B2"/>
    <w:rsid w:val="0026164D"/>
    <w:rsid w:val="002618E5"/>
    <w:rsid w:val="00261BE6"/>
    <w:rsid w:val="00261D08"/>
    <w:rsid w:val="00262F82"/>
    <w:rsid w:val="002645A3"/>
    <w:rsid w:val="002707E1"/>
    <w:rsid w:val="00270AEC"/>
    <w:rsid w:val="00272453"/>
    <w:rsid w:val="0027390A"/>
    <w:rsid w:val="00275118"/>
    <w:rsid w:val="00276764"/>
    <w:rsid w:val="0028063F"/>
    <w:rsid w:val="00287E45"/>
    <w:rsid w:val="0029076C"/>
    <w:rsid w:val="002908F9"/>
    <w:rsid w:val="00291558"/>
    <w:rsid w:val="002919C9"/>
    <w:rsid w:val="00293839"/>
    <w:rsid w:val="0029437A"/>
    <w:rsid w:val="002A1386"/>
    <w:rsid w:val="002A3786"/>
    <w:rsid w:val="002A665F"/>
    <w:rsid w:val="002B0AFB"/>
    <w:rsid w:val="002B18EC"/>
    <w:rsid w:val="002B20E6"/>
    <w:rsid w:val="002B75A5"/>
    <w:rsid w:val="002C0DA6"/>
    <w:rsid w:val="002D0BEF"/>
    <w:rsid w:val="002D15B0"/>
    <w:rsid w:val="002E2D56"/>
    <w:rsid w:val="002E410C"/>
    <w:rsid w:val="002E4219"/>
    <w:rsid w:val="002E6B67"/>
    <w:rsid w:val="002E6EE8"/>
    <w:rsid w:val="002E7151"/>
    <w:rsid w:val="002E7D13"/>
    <w:rsid w:val="002F0B84"/>
    <w:rsid w:val="002F1250"/>
    <w:rsid w:val="002F1F5A"/>
    <w:rsid w:val="002F78DD"/>
    <w:rsid w:val="002F7C62"/>
    <w:rsid w:val="003002BE"/>
    <w:rsid w:val="0030181B"/>
    <w:rsid w:val="003039B5"/>
    <w:rsid w:val="00303BCC"/>
    <w:rsid w:val="003101C2"/>
    <w:rsid w:val="00310243"/>
    <w:rsid w:val="00311EAE"/>
    <w:rsid w:val="00316121"/>
    <w:rsid w:val="00316410"/>
    <w:rsid w:val="0031707D"/>
    <w:rsid w:val="00317F21"/>
    <w:rsid w:val="00317F75"/>
    <w:rsid w:val="00324F6C"/>
    <w:rsid w:val="00326B6F"/>
    <w:rsid w:val="0032711B"/>
    <w:rsid w:val="00327A1C"/>
    <w:rsid w:val="00331333"/>
    <w:rsid w:val="0033371A"/>
    <w:rsid w:val="00334259"/>
    <w:rsid w:val="00334C05"/>
    <w:rsid w:val="00337F46"/>
    <w:rsid w:val="00342F99"/>
    <w:rsid w:val="00344EA0"/>
    <w:rsid w:val="0034577F"/>
    <w:rsid w:val="00350719"/>
    <w:rsid w:val="00361705"/>
    <w:rsid w:val="00365611"/>
    <w:rsid w:val="00367BEE"/>
    <w:rsid w:val="00370184"/>
    <w:rsid w:val="00375116"/>
    <w:rsid w:val="00376BD5"/>
    <w:rsid w:val="00380092"/>
    <w:rsid w:val="00384A3D"/>
    <w:rsid w:val="00390768"/>
    <w:rsid w:val="00392D21"/>
    <w:rsid w:val="003945E2"/>
    <w:rsid w:val="0039787C"/>
    <w:rsid w:val="003A0453"/>
    <w:rsid w:val="003A10F9"/>
    <w:rsid w:val="003A3CFB"/>
    <w:rsid w:val="003A7074"/>
    <w:rsid w:val="003B1119"/>
    <w:rsid w:val="003B130F"/>
    <w:rsid w:val="003B3695"/>
    <w:rsid w:val="003B72E7"/>
    <w:rsid w:val="003C07EC"/>
    <w:rsid w:val="003C1637"/>
    <w:rsid w:val="003C3667"/>
    <w:rsid w:val="003C6398"/>
    <w:rsid w:val="003D096F"/>
    <w:rsid w:val="003D346C"/>
    <w:rsid w:val="003D357A"/>
    <w:rsid w:val="003D3E7A"/>
    <w:rsid w:val="003D72CC"/>
    <w:rsid w:val="003E4250"/>
    <w:rsid w:val="003E48B7"/>
    <w:rsid w:val="003E5901"/>
    <w:rsid w:val="003E64BE"/>
    <w:rsid w:val="003F3F68"/>
    <w:rsid w:val="003F51EB"/>
    <w:rsid w:val="003F541A"/>
    <w:rsid w:val="00406981"/>
    <w:rsid w:val="00415002"/>
    <w:rsid w:val="0041591D"/>
    <w:rsid w:val="004246B6"/>
    <w:rsid w:val="004271E0"/>
    <w:rsid w:val="00431721"/>
    <w:rsid w:val="00434F9C"/>
    <w:rsid w:val="00437F0A"/>
    <w:rsid w:val="004405F0"/>
    <w:rsid w:val="004409B4"/>
    <w:rsid w:val="004412D8"/>
    <w:rsid w:val="0044202C"/>
    <w:rsid w:val="004423EF"/>
    <w:rsid w:val="004441F9"/>
    <w:rsid w:val="0045098E"/>
    <w:rsid w:val="00453804"/>
    <w:rsid w:val="00456F20"/>
    <w:rsid w:val="004601EF"/>
    <w:rsid w:val="00460F29"/>
    <w:rsid w:val="004629A0"/>
    <w:rsid w:val="00463C0C"/>
    <w:rsid w:val="00466C23"/>
    <w:rsid w:val="00471426"/>
    <w:rsid w:val="004715FF"/>
    <w:rsid w:val="00473F9F"/>
    <w:rsid w:val="00474176"/>
    <w:rsid w:val="004748D4"/>
    <w:rsid w:val="00482594"/>
    <w:rsid w:val="004834BE"/>
    <w:rsid w:val="004840F8"/>
    <w:rsid w:val="004862EF"/>
    <w:rsid w:val="00490A5C"/>
    <w:rsid w:val="00492D75"/>
    <w:rsid w:val="0049463B"/>
    <w:rsid w:val="0049524B"/>
    <w:rsid w:val="00495621"/>
    <w:rsid w:val="004A22D7"/>
    <w:rsid w:val="004A2CFC"/>
    <w:rsid w:val="004A55DB"/>
    <w:rsid w:val="004A60B5"/>
    <w:rsid w:val="004A6AE9"/>
    <w:rsid w:val="004B28E9"/>
    <w:rsid w:val="004B4CBE"/>
    <w:rsid w:val="004B57FF"/>
    <w:rsid w:val="004B61DC"/>
    <w:rsid w:val="004B7153"/>
    <w:rsid w:val="004C1B2A"/>
    <w:rsid w:val="004C25C5"/>
    <w:rsid w:val="004C2D14"/>
    <w:rsid w:val="004C522A"/>
    <w:rsid w:val="004C6EBA"/>
    <w:rsid w:val="004D1488"/>
    <w:rsid w:val="004D796C"/>
    <w:rsid w:val="004E129D"/>
    <w:rsid w:val="004E2FAD"/>
    <w:rsid w:val="004E37A9"/>
    <w:rsid w:val="004E49D8"/>
    <w:rsid w:val="004F0018"/>
    <w:rsid w:val="004F1C85"/>
    <w:rsid w:val="004F2D28"/>
    <w:rsid w:val="004F724D"/>
    <w:rsid w:val="00500216"/>
    <w:rsid w:val="005002D3"/>
    <w:rsid w:val="00501E1B"/>
    <w:rsid w:val="00503D1D"/>
    <w:rsid w:val="005040BE"/>
    <w:rsid w:val="00504A2E"/>
    <w:rsid w:val="005062A3"/>
    <w:rsid w:val="00506AF3"/>
    <w:rsid w:val="00506FCB"/>
    <w:rsid w:val="005078F0"/>
    <w:rsid w:val="00515342"/>
    <w:rsid w:val="00516005"/>
    <w:rsid w:val="00516A40"/>
    <w:rsid w:val="0051770E"/>
    <w:rsid w:val="005227DA"/>
    <w:rsid w:val="00523123"/>
    <w:rsid w:val="00523233"/>
    <w:rsid w:val="00524716"/>
    <w:rsid w:val="00524809"/>
    <w:rsid w:val="00525462"/>
    <w:rsid w:val="00525E40"/>
    <w:rsid w:val="00535D04"/>
    <w:rsid w:val="00537534"/>
    <w:rsid w:val="0053793B"/>
    <w:rsid w:val="00541008"/>
    <w:rsid w:val="005439AD"/>
    <w:rsid w:val="00544B77"/>
    <w:rsid w:val="00547729"/>
    <w:rsid w:val="00547F2D"/>
    <w:rsid w:val="00552CCF"/>
    <w:rsid w:val="00552D6B"/>
    <w:rsid w:val="00552DE5"/>
    <w:rsid w:val="0055594B"/>
    <w:rsid w:val="00556BF1"/>
    <w:rsid w:val="0056171A"/>
    <w:rsid w:val="0057004A"/>
    <w:rsid w:val="00571E38"/>
    <w:rsid w:val="0057563B"/>
    <w:rsid w:val="0057655B"/>
    <w:rsid w:val="00576B47"/>
    <w:rsid w:val="005867EE"/>
    <w:rsid w:val="005906E1"/>
    <w:rsid w:val="005942A8"/>
    <w:rsid w:val="00594B65"/>
    <w:rsid w:val="00595795"/>
    <w:rsid w:val="00596DBE"/>
    <w:rsid w:val="005977A2"/>
    <w:rsid w:val="005A0043"/>
    <w:rsid w:val="005A14C3"/>
    <w:rsid w:val="005A3F93"/>
    <w:rsid w:val="005A783E"/>
    <w:rsid w:val="005A7FD4"/>
    <w:rsid w:val="005B2417"/>
    <w:rsid w:val="005B4B20"/>
    <w:rsid w:val="005B75E7"/>
    <w:rsid w:val="005B7722"/>
    <w:rsid w:val="005C2AB7"/>
    <w:rsid w:val="005C2CAD"/>
    <w:rsid w:val="005C35C8"/>
    <w:rsid w:val="005C6E39"/>
    <w:rsid w:val="005C763A"/>
    <w:rsid w:val="005C79A5"/>
    <w:rsid w:val="005D2A5D"/>
    <w:rsid w:val="005D3BE4"/>
    <w:rsid w:val="005D4168"/>
    <w:rsid w:val="005D48CF"/>
    <w:rsid w:val="005D519C"/>
    <w:rsid w:val="005D62E1"/>
    <w:rsid w:val="005E7E95"/>
    <w:rsid w:val="00600546"/>
    <w:rsid w:val="006020F6"/>
    <w:rsid w:val="00603C19"/>
    <w:rsid w:val="006052F2"/>
    <w:rsid w:val="00605A65"/>
    <w:rsid w:val="00605AB4"/>
    <w:rsid w:val="00605C9A"/>
    <w:rsid w:val="0060658E"/>
    <w:rsid w:val="006168CF"/>
    <w:rsid w:val="0062578E"/>
    <w:rsid w:val="00631A2E"/>
    <w:rsid w:val="00632C46"/>
    <w:rsid w:val="00635420"/>
    <w:rsid w:val="00635916"/>
    <w:rsid w:val="00640DAC"/>
    <w:rsid w:val="00642B8B"/>
    <w:rsid w:val="006449A5"/>
    <w:rsid w:val="00644E39"/>
    <w:rsid w:val="006455BE"/>
    <w:rsid w:val="00646297"/>
    <w:rsid w:val="0065103A"/>
    <w:rsid w:val="00656F3B"/>
    <w:rsid w:val="00660FE6"/>
    <w:rsid w:val="006711C0"/>
    <w:rsid w:val="006748BA"/>
    <w:rsid w:val="006776D0"/>
    <w:rsid w:val="006833A1"/>
    <w:rsid w:val="006833EB"/>
    <w:rsid w:val="00683C2A"/>
    <w:rsid w:val="00685940"/>
    <w:rsid w:val="00686EEB"/>
    <w:rsid w:val="006904CF"/>
    <w:rsid w:val="00691F50"/>
    <w:rsid w:val="00692D94"/>
    <w:rsid w:val="00694548"/>
    <w:rsid w:val="00694E9C"/>
    <w:rsid w:val="00695902"/>
    <w:rsid w:val="00696D76"/>
    <w:rsid w:val="006A01CE"/>
    <w:rsid w:val="006A2049"/>
    <w:rsid w:val="006B1949"/>
    <w:rsid w:val="006B1966"/>
    <w:rsid w:val="006B3D0F"/>
    <w:rsid w:val="006B4F9A"/>
    <w:rsid w:val="006B5C20"/>
    <w:rsid w:val="006C3B78"/>
    <w:rsid w:val="006D1EA5"/>
    <w:rsid w:val="006D2EE8"/>
    <w:rsid w:val="006D4F9C"/>
    <w:rsid w:val="006D5438"/>
    <w:rsid w:val="006D6414"/>
    <w:rsid w:val="006D6A13"/>
    <w:rsid w:val="006D795E"/>
    <w:rsid w:val="006E1FDA"/>
    <w:rsid w:val="006E338C"/>
    <w:rsid w:val="006E3E8C"/>
    <w:rsid w:val="006E636E"/>
    <w:rsid w:val="006E648E"/>
    <w:rsid w:val="006E688E"/>
    <w:rsid w:val="006F21CD"/>
    <w:rsid w:val="006F4962"/>
    <w:rsid w:val="00702220"/>
    <w:rsid w:val="0070351A"/>
    <w:rsid w:val="00705DF2"/>
    <w:rsid w:val="007060A0"/>
    <w:rsid w:val="007138AF"/>
    <w:rsid w:val="00714A59"/>
    <w:rsid w:val="00724FC2"/>
    <w:rsid w:val="00726AB3"/>
    <w:rsid w:val="00726C99"/>
    <w:rsid w:val="00727EFD"/>
    <w:rsid w:val="00733F6C"/>
    <w:rsid w:val="00734FD7"/>
    <w:rsid w:val="00735D76"/>
    <w:rsid w:val="00741AD4"/>
    <w:rsid w:val="00744024"/>
    <w:rsid w:val="007443CC"/>
    <w:rsid w:val="007468C7"/>
    <w:rsid w:val="0074757A"/>
    <w:rsid w:val="00750233"/>
    <w:rsid w:val="00750C42"/>
    <w:rsid w:val="00751958"/>
    <w:rsid w:val="00751F21"/>
    <w:rsid w:val="00754066"/>
    <w:rsid w:val="00763009"/>
    <w:rsid w:val="007631DC"/>
    <w:rsid w:val="00766917"/>
    <w:rsid w:val="00773B55"/>
    <w:rsid w:val="007746AB"/>
    <w:rsid w:val="00783980"/>
    <w:rsid w:val="00783D70"/>
    <w:rsid w:val="007879E1"/>
    <w:rsid w:val="007928A1"/>
    <w:rsid w:val="00795549"/>
    <w:rsid w:val="00797791"/>
    <w:rsid w:val="007A13A8"/>
    <w:rsid w:val="007A4353"/>
    <w:rsid w:val="007A674F"/>
    <w:rsid w:val="007B03C3"/>
    <w:rsid w:val="007B05C4"/>
    <w:rsid w:val="007B26FD"/>
    <w:rsid w:val="007B401A"/>
    <w:rsid w:val="007B4BF5"/>
    <w:rsid w:val="007B517C"/>
    <w:rsid w:val="007C1934"/>
    <w:rsid w:val="007C1F71"/>
    <w:rsid w:val="007C2B09"/>
    <w:rsid w:val="007C3EA6"/>
    <w:rsid w:val="007C7461"/>
    <w:rsid w:val="007D2A3A"/>
    <w:rsid w:val="007D2E63"/>
    <w:rsid w:val="007D6A67"/>
    <w:rsid w:val="007E1C97"/>
    <w:rsid w:val="007E498C"/>
    <w:rsid w:val="007E599A"/>
    <w:rsid w:val="007F02D8"/>
    <w:rsid w:val="007F2B9C"/>
    <w:rsid w:val="007F3723"/>
    <w:rsid w:val="007F4991"/>
    <w:rsid w:val="007F556D"/>
    <w:rsid w:val="007F6815"/>
    <w:rsid w:val="00803419"/>
    <w:rsid w:val="00804652"/>
    <w:rsid w:val="0080690D"/>
    <w:rsid w:val="008117E7"/>
    <w:rsid w:val="00816EC0"/>
    <w:rsid w:val="00826F46"/>
    <w:rsid w:val="00831893"/>
    <w:rsid w:val="00831D3D"/>
    <w:rsid w:val="008353DB"/>
    <w:rsid w:val="00836329"/>
    <w:rsid w:val="00842C3D"/>
    <w:rsid w:val="00850C4C"/>
    <w:rsid w:val="00856901"/>
    <w:rsid w:val="00860697"/>
    <w:rsid w:val="0086183B"/>
    <w:rsid w:val="00865400"/>
    <w:rsid w:val="00865F36"/>
    <w:rsid w:val="008672C0"/>
    <w:rsid w:val="0087033E"/>
    <w:rsid w:val="00873BEB"/>
    <w:rsid w:val="0087659F"/>
    <w:rsid w:val="00877720"/>
    <w:rsid w:val="008778D0"/>
    <w:rsid w:val="008820F9"/>
    <w:rsid w:val="00884241"/>
    <w:rsid w:val="0089049A"/>
    <w:rsid w:val="0089418A"/>
    <w:rsid w:val="00894BF2"/>
    <w:rsid w:val="00895BAB"/>
    <w:rsid w:val="00897099"/>
    <w:rsid w:val="008A39AD"/>
    <w:rsid w:val="008A5312"/>
    <w:rsid w:val="008A58CE"/>
    <w:rsid w:val="008A6185"/>
    <w:rsid w:val="008A643A"/>
    <w:rsid w:val="008A6894"/>
    <w:rsid w:val="008B0EF8"/>
    <w:rsid w:val="008B1D52"/>
    <w:rsid w:val="008B201E"/>
    <w:rsid w:val="008C26C5"/>
    <w:rsid w:val="008C4623"/>
    <w:rsid w:val="008D05DF"/>
    <w:rsid w:val="008D2226"/>
    <w:rsid w:val="008D417F"/>
    <w:rsid w:val="008D7B81"/>
    <w:rsid w:val="008E2E35"/>
    <w:rsid w:val="008E6C9A"/>
    <w:rsid w:val="008F17AC"/>
    <w:rsid w:val="008F3C4E"/>
    <w:rsid w:val="008F6CC4"/>
    <w:rsid w:val="008F7B8C"/>
    <w:rsid w:val="00906D29"/>
    <w:rsid w:val="00907486"/>
    <w:rsid w:val="00911C23"/>
    <w:rsid w:val="009126C4"/>
    <w:rsid w:val="009209F2"/>
    <w:rsid w:val="00921078"/>
    <w:rsid w:val="00921279"/>
    <w:rsid w:val="009231F8"/>
    <w:rsid w:val="00925AE9"/>
    <w:rsid w:val="00931EF3"/>
    <w:rsid w:val="0093332E"/>
    <w:rsid w:val="009447D7"/>
    <w:rsid w:val="009449F2"/>
    <w:rsid w:val="00950463"/>
    <w:rsid w:val="009522B2"/>
    <w:rsid w:val="00952657"/>
    <w:rsid w:val="009540EF"/>
    <w:rsid w:val="0095607D"/>
    <w:rsid w:val="00957EE9"/>
    <w:rsid w:val="00960BFD"/>
    <w:rsid w:val="0096533D"/>
    <w:rsid w:val="00967936"/>
    <w:rsid w:val="009702CD"/>
    <w:rsid w:val="00974683"/>
    <w:rsid w:val="00974ED1"/>
    <w:rsid w:val="00975192"/>
    <w:rsid w:val="00976440"/>
    <w:rsid w:val="009805FC"/>
    <w:rsid w:val="00981753"/>
    <w:rsid w:val="00984C6A"/>
    <w:rsid w:val="00990DC5"/>
    <w:rsid w:val="00993E92"/>
    <w:rsid w:val="009960C2"/>
    <w:rsid w:val="00997B9A"/>
    <w:rsid w:val="009A4F72"/>
    <w:rsid w:val="009A7F6E"/>
    <w:rsid w:val="009B3B59"/>
    <w:rsid w:val="009B5A89"/>
    <w:rsid w:val="009B7B96"/>
    <w:rsid w:val="009C6193"/>
    <w:rsid w:val="009C6781"/>
    <w:rsid w:val="009C7C0F"/>
    <w:rsid w:val="009D0151"/>
    <w:rsid w:val="009D50FB"/>
    <w:rsid w:val="009D5A9D"/>
    <w:rsid w:val="009D7167"/>
    <w:rsid w:val="009E2038"/>
    <w:rsid w:val="009E3069"/>
    <w:rsid w:val="009E3BD2"/>
    <w:rsid w:val="009E3F94"/>
    <w:rsid w:val="009F07BF"/>
    <w:rsid w:val="009F1B97"/>
    <w:rsid w:val="009F559F"/>
    <w:rsid w:val="009F7773"/>
    <w:rsid w:val="00A034EE"/>
    <w:rsid w:val="00A07136"/>
    <w:rsid w:val="00A07953"/>
    <w:rsid w:val="00A10189"/>
    <w:rsid w:val="00A12FC6"/>
    <w:rsid w:val="00A14DA0"/>
    <w:rsid w:val="00A153EF"/>
    <w:rsid w:val="00A1562E"/>
    <w:rsid w:val="00A16957"/>
    <w:rsid w:val="00A17041"/>
    <w:rsid w:val="00A208F8"/>
    <w:rsid w:val="00A21745"/>
    <w:rsid w:val="00A23AFC"/>
    <w:rsid w:val="00A23CFD"/>
    <w:rsid w:val="00A2720C"/>
    <w:rsid w:val="00A32D75"/>
    <w:rsid w:val="00A33D98"/>
    <w:rsid w:val="00A342B4"/>
    <w:rsid w:val="00A34486"/>
    <w:rsid w:val="00A35DDC"/>
    <w:rsid w:val="00A372CF"/>
    <w:rsid w:val="00A37631"/>
    <w:rsid w:val="00A4060A"/>
    <w:rsid w:val="00A574E0"/>
    <w:rsid w:val="00A6302C"/>
    <w:rsid w:val="00A63753"/>
    <w:rsid w:val="00A6563E"/>
    <w:rsid w:val="00A679E4"/>
    <w:rsid w:val="00A67B4C"/>
    <w:rsid w:val="00A67E1E"/>
    <w:rsid w:val="00A7390A"/>
    <w:rsid w:val="00A74031"/>
    <w:rsid w:val="00A75AD5"/>
    <w:rsid w:val="00A822BB"/>
    <w:rsid w:val="00A850D2"/>
    <w:rsid w:val="00A8562B"/>
    <w:rsid w:val="00A86720"/>
    <w:rsid w:val="00A9003F"/>
    <w:rsid w:val="00A90E19"/>
    <w:rsid w:val="00A92F84"/>
    <w:rsid w:val="00A93989"/>
    <w:rsid w:val="00A95E8B"/>
    <w:rsid w:val="00A96616"/>
    <w:rsid w:val="00AA6D8B"/>
    <w:rsid w:val="00AA7454"/>
    <w:rsid w:val="00AB1974"/>
    <w:rsid w:val="00AB47C8"/>
    <w:rsid w:val="00AB593B"/>
    <w:rsid w:val="00AB6164"/>
    <w:rsid w:val="00AC200D"/>
    <w:rsid w:val="00AC33C5"/>
    <w:rsid w:val="00AC4A7E"/>
    <w:rsid w:val="00AC6659"/>
    <w:rsid w:val="00AC7119"/>
    <w:rsid w:val="00AD23C0"/>
    <w:rsid w:val="00AD3478"/>
    <w:rsid w:val="00AD35F4"/>
    <w:rsid w:val="00AD4B8A"/>
    <w:rsid w:val="00AD62F7"/>
    <w:rsid w:val="00AD6D9C"/>
    <w:rsid w:val="00AE0794"/>
    <w:rsid w:val="00AE21C2"/>
    <w:rsid w:val="00AF118F"/>
    <w:rsid w:val="00AF400D"/>
    <w:rsid w:val="00AF5A86"/>
    <w:rsid w:val="00AF6206"/>
    <w:rsid w:val="00AF6C4B"/>
    <w:rsid w:val="00B07BC5"/>
    <w:rsid w:val="00B07F1F"/>
    <w:rsid w:val="00B1073A"/>
    <w:rsid w:val="00B20F10"/>
    <w:rsid w:val="00B20F1F"/>
    <w:rsid w:val="00B21FAD"/>
    <w:rsid w:val="00B27DEF"/>
    <w:rsid w:val="00B32014"/>
    <w:rsid w:val="00B33672"/>
    <w:rsid w:val="00B35AB4"/>
    <w:rsid w:val="00B35C51"/>
    <w:rsid w:val="00B36840"/>
    <w:rsid w:val="00B36847"/>
    <w:rsid w:val="00B514EB"/>
    <w:rsid w:val="00B5263C"/>
    <w:rsid w:val="00B52710"/>
    <w:rsid w:val="00B52B04"/>
    <w:rsid w:val="00B5349D"/>
    <w:rsid w:val="00B55680"/>
    <w:rsid w:val="00B61452"/>
    <w:rsid w:val="00B639F2"/>
    <w:rsid w:val="00B65945"/>
    <w:rsid w:val="00B74B32"/>
    <w:rsid w:val="00B75A5F"/>
    <w:rsid w:val="00B763A5"/>
    <w:rsid w:val="00B81A20"/>
    <w:rsid w:val="00B82392"/>
    <w:rsid w:val="00B82C1D"/>
    <w:rsid w:val="00B84239"/>
    <w:rsid w:val="00B935B5"/>
    <w:rsid w:val="00B95247"/>
    <w:rsid w:val="00B97197"/>
    <w:rsid w:val="00B97CE8"/>
    <w:rsid w:val="00BA2717"/>
    <w:rsid w:val="00BA4ACA"/>
    <w:rsid w:val="00BA7BBD"/>
    <w:rsid w:val="00BB01CA"/>
    <w:rsid w:val="00BB0395"/>
    <w:rsid w:val="00BB0DC7"/>
    <w:rsid w:val="00BB44C3"/>
    <w:rsid w:val="00BB699F"/>
    <w:rsid w:val="00BB762D"/>
    <w:rsid w:val="00BC114A"/>
    <w:rsid w:val="00BC379F"/>
    <w:rsid w:val="00BC4AF5"/>
    <w:rsid w:val="00BC4D0E"/>
    <w:rsid w:val="00BC549B"/>
    <w:rsid w:val="00BC55A6"/>
    <w:rsid w:val="00BD2D23"/>
    <w:rsid w:val="00BD39D1"/>
    <w:rsid w:val="00BD5332"/>
    <w:rsid w:val="00BD58AD"/>
    <w:rsid w:val="00BD5C02"/>
    <w:rsid w:val="00BD5CB2"/>
    <w:rsid w:val="00BE00D6"/>
    <w:rsid w:val="00BF1838"/>
    <w:rsid w:val="00BF63B7"/>
    <w:rsid w:val="00BF6B3B"/>
    <w:rsid w:val="00BF7884"/>
    <w:rsid w:val="00C0136C"/>
    <w:rsid w:val="00C0421B"/>
    <w:rsid w:val="00C046F9"/>
    <w:rsid w:val="00C069E0"/>
    <w:rsid w:val="00C07006"/>
    <w:rsid w:val="00C10793"/>
    <w:rsid w:val="00C15F45"/>
    <w:rsid w:val="00C177EB"/>
    <w:rsid w:val="00C1793A"/>
    <w:rsid w:val="00C236E4"/>
    <w:rsid w:val="00C23ECE"/>
    <w:rsid w:val="00C267BD"/>
    <w:rsid w:val="00C27024"/>
    <w:rsid w:val="00C2704A"/>
    <w:rsid w:val="00C31989"/>
    <w:rsid w:val="00C32CFD"/>
    <w:rsid w:val="00C3526C"/>
    <w:rsid w:val="00C35354"/>
    <w:rsid w:val="00C45D42"/>
    <w:rsid w:val="00C462A5"/>
    <w:rsid w:val="00C46A22"/>
    <w:rsid w:val="00C508B5"/>
    <w:rsid w:val="00C50F5A"/>
    <w:rsid w:val="00C521C2"/>
    <w:rsid w:val="00C53619"/>
    <w:rsid w:val="00C60BAB"/>
    <w:rsid w:val="00C65CF0"/>
    <w:rsid w:val="00C66F0F"/>
    <w:rsid w:val="00C67C4A"/>
    <w:rsid w:val="00C71DE4"/>
    <w:rsid w:val="00C725EA"/>
    <w:rsid w:val="00C729BD"/>
    <w:rsid w:val="00C75584"/>
    <w:rsid w:val="00C76911"/>
    <w:rsid w:val="00C80174"/>
    <w:rsid w:val="00C84234"/>
    <w:rsid w:val="00C84CF9"/>
    <w:rsid w:val="00C90094"/>
    <w:rsid w:val="00C90CF0"/>
    <w:rsid w:val="00C9316C"/>
    <w:rsid w:val="00C939EC"/>
    <w:rsid w:val="00C9588D"/>
    <w:rsid w:val="00C96D18"/>
    <w:rsid w:val="00CA05AF"/>
    <w:rsid w:val="00CA175C"/>
    <w:rsid w:val="00CA24FC"/>
    <w:rsid w:val="00CA4305"/>
    <w:rsid w:val="00CA4BC1"/>
    <w:rsid w:val="00CA551B"/>
    <w:rsid w:val="00CA65C8"/>
    <w:rsid w:val="00CB10C8"/>
    <w:rsid w:val="00CB22F5"/>
    <w:rsid w:val="00CB241A"/>
    <w:rsid w:val="00CB5EBF"/>
    <w:rsid w:val="00CB761E"/>
    <w:rsid w:val="00CD12F2"/>
    <w:rsid w:val="00CD2D36"/>
    <w:rsid w:val="00CD3AE0"/>
    <w:rsid w:val="00CD49EA"/>
    <w:rsid w:val="00CD796C"/>
    <w:rsid w:val="00CD79E4"/>
    <w:rsid w:val="00CD7B8B"/>
    <w:rsid w:val="00CE033B"/>
    <w:rsid w:val="00CE0C8F"/>
    <w:rsid w:val="00CE3BD5"/>
    <w:rsid w:val="00CE5FF4"/>
    <w:rsid w:val="00CE7619"/>
    <w:rsid w:val="00CE78DB"/>
    <w:rsid w:val="00CF0BF1"/>
    <w:rsid w:val="00CF1780"/>
    <w:rsid w:val="00CF2616"/>
    <w:rsid w:val="00D00301"/>
    <w:rsid w:val="00D01189"/>
    <w:rsid w:val="00D03E84"/>
    <w:rsid w:val="00D04712"/>
    <w:rsid w:val="00D102BE"/>
    <w:rsid w:val="00D1484C"/>
    <w:rsid w:val="00D171D3"/>
    <w:rsid w:val="00D229B4"/>
    <w:rsid w:val="00D2326D"/>
    <w:rsid w:val="00D301C0"/>
    <w:rsid w:val="00D335C9"/>
    <w:rsid w:val="00D40449"/>
    <w:rsid w:val="00D4264F"/>
    <w:rsid w:val="00D43907"/>
    <w:rsid w:val="00D46ED6"/>
    <w:rsid w:val="00D52544"/>
    <w:rsid w:val="00D638FE"/>
    <w:rsid w:val="00D6611B"/>
    <w:rsid w:val="00D67664"/>
    <w:rsid w:val="00D7041D"/>
    <w:rsid w:val="00D704DE"/>
    <w:rsid w:val="00D70E48"/>
    <w:rsid w:val="00D729C4"/>
    <w:rsid w:val="00D806D6"/>
    <w:rsid w:val="00D80B1D"/>
    <w:rsid w:val="00D80D85"/>
    <w:rsid w:val="00D833B5"/>
    <w:rsid w:val="00D837ED"/>
    <w:rsid w:val="00D84B4B"/>
    <w:rsid w:val="00D904F8"/>
    <w:rsid w:val="00D9086E"/>
    <w:rsid w:val="00D93B2D"/>
    <w:rsid w:val="00D95218"/>
    <w:rsid w:val="00D97E5A"/>
    <w:rsid w:val="00DA12C0"/>
    <w:rsid w:val="00DA2084"/>
    <w:rsid w:val="00DA45A9"/>
    <w:rsid w:val="00DA497C"/>
    <w:rsid w:val="00DB1A15"/>
    <w:rsid w:val="00DB1DE6"/>
    <w:rsid w:val="00DB2075"/>
    <w:rsid w:val="00DB4C9A"/>
    <w:rsid w:val="00DB5EA9"/>
    <w:rsid w:val="00DB6E6E"/>
    <w:rsid w:val="00DC2CD8"/>
    <w:rsid w:val="00DC3E64"/>
    <w:rsid w:val="00DC58DB"/>
    <w:rsid w:val="00DC65CA"/>
    <w:rsid w:val="00DC6EE7"/>
    <w:rsid w:val="00DD135D"/>
    <w:rsid w:val="00DD5CDE"/>
    <w:rsid w:val="00DE0442"/>
    <w:rsid w:val="00DE0BCE"/>
    <w:rsid w:val="00DE19FA"/>
    <w:rsid w:val="00DE233A"/>
    <w:rsid w:val="00DE49DB"/>
    <w:rsid w:val="00DE6866"/>
    <w:rsid w:val="00DF7B5E"/>
    <w:rsid w:val="00DF7D41"/>
    <w:rsid w:val="00E00E06"/>
    <w:rsid w:val="00E01498"/>
    <w:rsid w:val="00E04DD3"/>
    <w:rsid w:val="00E078A0"/>
    <w:rsid w:val="00E1366D"/>
    <w:rsid w:val="00E167D0"/>
    <w:rsid w:val="00E20E00"/>
    <w:rsid w:val="00E22255"/>
    <w:rsid w:val="00E26C19"/>
    <w:rsid w:val="00E26DB5"/>
    <w:rsid w:val="00E26FC8"/>
    <w:rsid w:val="00E27F0A"/>
    <w:rsid w:val="00E32ACB"/>
    <w:rsid w:val="00E32FE6"/>
    <w:rsid w:val="00E356AF"/>
    <w:rsid w:val="00E411D4"/>
    <w:rsid w:val="00E423D4"/>
    <w:rsid w:val="00E43DAD"/>
    <w:rsid w:val="00E44A42"/>
    <w:rsid w:val="00E45193"/>
    <w:rsid w:val="00E45B62"/>
    <w:rsid w:val="00E46F8E"/>
    <w:rsid w:val="00E501BB"/>
    <w:rsid w:val="00E53C1D"/>
    <w:rsid w:val="00E54687"/>
    <w:rsid w:val="00E56529"/>
    <w:rsid w:val="00E5775D"/>
    <w:rsid w:val="00E61BD5"/>
    <w:rsid w:val="00E6346C"/>
    <w:rsid w:val="00E67666"/>
    <w:rsid w:val="00E708E9"/>
    <w:rsid w:val="00E71684"/>
    <w:rsid w:val="00E71EF0"/>
    <w:rsid w:val="00E727F3"/>
    <w:rsid w:val="00E72CD7"/>
    <w:rsid w:val="00E74671"/>
    <w:rsid w:val="00E7687A"/>
    <w:rsid w:val="00E768B2"/>
    <w:rsid w:val="00E8326F"/>
    <w:rsid w:val="00E83C21"/>
    <w:rsid w:val="00E85712"/>
    <w:rsid w:val="00E85B62"/>
    <w:rsid w:val="00E86504"/>
    <w:rsid w:val="00E8719F"/>
    <w:rsid w:val="00E87FAD"/>
    <w:rsid w:val="00E913B8"/>
    <w:rsid w:val="00E961F2"/>
    <w:rsid w:val="00EA0AF3"/>
    <w:rsid w:val="00EA3FC2"/>
    <w:rsid w:val="00EA6CFA"/>
    <w:rsid w:val="00EB0512"/>
    <w:rsid w:val="00EB2ADC"/>
    <w:rsid w:val="00EB2B3F"/>
    <w:rsid w:val="00EC22E0"/>
    <w:rsid w:val="00EC26E8"/>
    <w:rsid w:val="00EC271B"/>
    <w:rsid w:val="00EC3879"/>
    <w:rsid w:val="00EC3D30"/>
    <w:rsid w:val="00EC3D62"/>
    <w:rsid w:val="00EC5CDE"/>
    <w:rsid w:val="00ED36AE"/>
    <w:rsid w:val="00ED3874"/>
    <w:rsid w:val="00ED61D8"/>
    <w:rsid w:val="00EE40E0"/>
    <w:rsid w:val="00EE5DE4"/>
    <w:rsid w:val="00EE61D0"/>
    <w:rsid w:val="00EE75BE"/>
    <w:rsid w:val="00EF362E"/>
    <w:rsid w:val="00EF3E43"/>
    <w:rsid w:val="00EF4920"/>
    <w:rsid w:val="00EF52B0"/>
    <w:rsid w:val="00EF557D"/>
    <w:rsid w:val="00EF6340"/>
    <w:rsid w:val="00EF7170"/>
    <w:rsid w:val="00EF7ED3"/>
    <w:rsid w:val="00F003DD"/>
    <w:rsid w:val="00F00B9D"/>
    <w:rsid w:val="00F01604"/>
    <w:rsid w:val="00F01E9D"/>
    <w:rsid w:val="00F04A0D"/>
    <w:rsid w:val="00F06024"/>
    <w:rsid w:val="00F07790"/>
    <w:rsid w:val="00F12A78"/>
    <w:rsid w:val="00F1398E"/>
    <w:rsid w:val="00F15A57"/>
    <w:rsid w:val="00F162C2"/>
    <w:rsid w:val="00F1728E"/>
    <w:rsid w:val="00F224CB"/>
    <w:rsid w:val="00F22F6C"/>
    <w:rsid w:val="00F26F8A"/>
    <w:rsid w:val="00F310FE"/>
    <w:rsid w:val="00F44647"/>
    <w:rsid w:val="00F54B7D"/>
    <w:rsid w:val="00F54C27"/>
    <w:rsid w:val="00F607C5"/>
    <w:rsid w:val="00F61D05"/>
    <w:rsid w:val="00F66D47"/>
    <w:rsid w:val="00F71CCB"/>
    <w:rsid w:val="00F8015B"/>
    <w:rsid w:val="00F80381"/>
    <w:rsid w:val="00F808CF"/>
    <w:rsid w:val="00F858BE"/>
    <w:rsid w:val="00F86835"/>
    <w:rsid w:val="00F86838"/>
    <w:rsid w:val="00F8775B"/>
    <w:rsid w:val="00F87ABE"/>
    <w:rsid w:val="00F90DAE"/>
    <w:rsid w:val="00F916D2"/>
    <w:rsid w:val="00F94FE8"/>
    <w:rsid w:val="00F9695E"/>
    <w:rsid w:val="00F976FA"/>
    <w:rsid w:val="00FA0A9A"/>
    <w:rsid w:val="00FA0DF5"/>
    <w:rsid w:val="00FB0DDC"/>
    <w:rsid w:val="00FB4766"/>
    <w:rsid w:val="00FB4E45"/>
    <w:rsid w:val="00FB4F84"/>
    <w:rsid w:val="00FB69F3"/>
    <w:rsid w:val="00FB6D0F"/>
    <w:rsid w:val="00FB7D49"/>
    <w:rsid w:val="00FC3E2B"/>
    <w:rsid w:val="00FC6169"/>
    <w:rsid w:val="00FC6274"/>
    <w:rsid w:val="00FD43B1"/>
    <w:rsid w:val="00FD5823"/>
    <w:rsid w:val="00FD68B8"/>
    <w:rsid w:val="00FD7FED"/>
    <w:rsid w:val="00FE25B7"/>
    <w:rsid w:val="00FE2999"/>
    <w:rsid w:val="00FE4395"/>
    <w:rsid w:val="00FE74AB"/>
    <w:rsid w:val="00FF0E39"/>
    <w:rsid w:val="00FF0FEC"/>
    <w:rsid w:val="00FF149E"/>
    <w:rsid w:val="00FF2546"/>
    <w:rsid w:val="00FF3B61"/>
    <w:rsid w:val="00FF4366"/>
    <w:rsid w:val="00FF659A"/>
    <w:rsid w:val="00FF72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allowoverlap="f" fill="f" fillcolor="white" stroke="f">
      <v:fill color="white" on="f"/>
      <v:stroke on="f"/>
    </o:shapedefaults>
    <o:shapelayout v:ext="edit">
      <o:idmap v:ext="edit" data="1"/>
    </o:shapelayout>
  </w:shapeDefaults>
  <w:decimalSymbol w:val=","/>
  <w:listSeparator w:val=";"/>
  <w14:docId w14:val="42B51733"/>
  <w15:docId w15:val="{F9877711-0303-4CFA-9D0E-9C0D2B0D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5A5"/>
    <w:pPr>
      <w:spacing w:after="200" w:line="276" w:lineRule="auto"/>
    </w:pPr>
    <w:rPr>
      <w:rFonts w:ascii="Corbel" w:eastAsia="Corbel" w:hAnsi="Corbel"/>
      <w:sz w:val="22"/>
      <w:szCs w:val="22"/>
      <w:lang w:eastAsia="en-US"/>
    </w:rPr>
  </w:style>
  <w:style w:type="paragraph" w:styleId="Ttulo1">
    <w:name w:val="heading 1"/>
    <w:aliases w:val="5. Título Centrado"/>
    <w:basedOn w:val="Normal"/>
    <w:next w:val="Normal"/>
    <w:link w:val="Ttulo1Car"/>
    <w:qFormat/>
    <w:rsid w:val="00DA497C"/>
    <w:pPr>
      <w:spacing w:after="120" w:line="240" w:lineRule="auto"/>
      <w:jc w:val="center"/>
      <w:outlineLvl w:val="0"/>
    </w:pPr>
    <w:rPr>
      <w:rFonts w:ascii="Arial" w:eastAsia="Times New Roman" w:hAnsi="Arial" w:cs="Arial"/>
      <w:b/>
      <w:sz w:val="28"/>
      <w:szCs w:val="28"/>
      <w:lang w:eastAsia="es-ES"/>
    </w:rPr>
  </w:style>
  <w:style w:type="paragraph" w:styleId="Ttulo2">
    <w:name w:val="heading 2"/>
    <w:basedOn w:val="Normal"/>
    <w:next w:val="Normal"/>
    <w:link w:val="Ttulo2Car"/>
    <w:unhideWhenUsed/>
    <w:qFormat/>
    <w:rsid w:val="002B75A5"/>
    <w:pPr>
      <w:keepNext/>
      <w:keepLines/>
      <w:spacing w:before="120" w:after="120" w:line="240" w:lineRule="auto"/>
      <w:jc w:val="both"/>
      <w:outlineLvl w:val="1"/>
    </w:pPr>
    <w:rPr>
      <w:rFonts w:ascii="Arial" w:eastAsiaTheme="majorEastAsia" w:hAnsi="Arial" w:cstheme="majorBidi"/>
      <w:b/>
      <w:bCs/>
      <w:sz w:val="24"/>
      <w:szCs w:val="26"/>
      <w:lang w:eastAsia="es-ES"/>
    </w:rPr>
  </w:style>
  <w:style w:type="paragraph" w:styleId="Ttulo3">
    <w:name w:val="heading 3"/>
    <w:basedOn w:val="Normal"/>
    <w:next w:val="Normal"/>
    <w:link w:val="Ttulo3Car"/>
    <w:unhideWhenUsed/>
    <w:qFormat/>
    <w:rsid w:val="002B75A5"/>
    <w:pPr>
      <w:keepNext/>
      <w:keepLines/>
      <w:spacing w:before="120" w:after="120" w:line="240" w:lineRule="auto"/>
      <w:jc w:val="both"/>
      <w:outlineLvl w:val="2"/>
    </w:pPr>
    <w:rPr>
      <w:rFonts w:ascii="Arial" w:eastAsiaTheme="majorEastAsia" w:hAnsi="Arial" w:cstheme="majorBidi"/>
      <w:b/>
      <w:bCs/>
      <w:sz w:val="24"/>
      <w:szCs w:val="24"/>
      <w:lang w:eastAsia="es-ES"/>
    </w:rPr>
  </w:style>
  <w:style w:type="paragraph" w:styleId="Ttulo4">
    <w:name w:val="heading 4"/>
    <w:basedOn w:val="Normal"/>
    <w:next w:val="Normal"/>
    <w:link w:val="Ttulo4Car"/>
    <w:unhideWhenUsed/>
    <w:qFormat/>
    <w:rsid w:val="002B75A5"/>
    <w:pPr>
      <w:keepNext/>
      <w:keepLines/>
      <w:spacing w:before="120" w:after="120"/>
      <w:outlineLvl w:val="3"/>
    </w:pPr>
    <w:rPr>
      <w:rFonts w:ascii="Arial" w:eastAsiaTheme="majorEastAsia" w:hAnsi="Arial"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D6414"/>
    <w:pPr>
      <w:tabs>
        <w:tab w:val="center" w:pos="4252"/>
        <w:tab w:val="right" w:pos="8504"/>
      </w:tabs>
      <w:spacing w:after="0" w:line="240" w:lineRule="auto"/>
    </w:pPr>
  </w:style>
  <w:style w:type="character" w:customStyle="1" w:styleId="EncabezadoCar">
    <w:name w:val="Encabezado Car"/>
    <w:basedOn w:val="Fuentedeprrafopredeter"/>
    <w:link w:val="Encabezado"/>
    <w:rsid w:val="006D6414"/>
    <w:rPr>
      <w:rFonts w:ascii="Corbel" w:eastAsia="Corbel" w:hAnsi="Corbel"/>
      <w:sz w:val="22"/>
      <w:szCs w:val="22"/>
      <w:lang w:val="es-ES" w:eastAsia="en-US" w:bidi="ar-SA"/>
    </w:rPr>
  </w:style>
  <w:style w:type="paragraph" w:styleId="Piedepgina">
    <w:name w:val="footer"/>
    <w:basedOn w:val="Normal"/>
    <w:link w:val="PiedepginaCar"/>
    <w:uiPriority w:val="99"/>
    <w:rsid w:val="002B18EC"/>
    <w:pPr>
      <w:tabs>
        <w:tab w:val="center" w:pos="4252"/>
        <w:tab w:val="right" w:pos="8504"/>
      </w:tabs>
    </w:pPr>
  </w:style>
  <w:style w:type="character" w:styleId="Nmerodepgina">
    <w:name w:val="page number"/>
    <w:basedOn w:val="Fuentedeprrafopredeter"/>
    <w:rsid w:val="00E43DAD"/>
  </w:style>
  <w:style w:type="character" w:styleId="Hipervnculo">
    <w:name w:val="Hyperlink"/>
    <w:basedOn w:val="Fuentedeprrafopredeter"/>
    <w:uiPriority w:val="99"/>
    <w:rsid w:val="00D229B4"/>
    <w:rPr>
      <w:color w:val="0000FF"/>
      <w:u w:val="single"/>
    </w:rPr>
  </w:style>
  <w:style w:type="paragraph" w:styleId="Textodeglobo">
    <w:name w:val="Balloon Text"/>
    <w:basedOn w:val="Normal"/>
    <w:link w:val="TextodegloboCar"/>
    <w:rsid w:val="004B61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B61DC"/>
    <w:rPr>
      <w:rFonts w:ascii="Tahoma" w:eastAsia="Corbel" w:hAnsi="Tahoma" w:cs="Tahoma"/>
      <w:sz w:val="16"/>
      <w:szCs w:val="16"/>
      <w:lang w:eastAsia="en-US"/>
    </w:rPr>
  </w:style>
  <w:style w:type="paragraph" w:styleId="Textocomentario">
    <w:name w:val="annotation text"/>
    <w:basedOn w:val="Normal"/>
    <w:link w:val="TextocomentarioCar"/>
    <w:unhideWhenUsed/>
    <w:rsid w:val="00695902"/>
    <w:pPr>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rsid w:val="00695902"/>
    <w:rPr>
      <w:lang w:val="es-ES_tradnl"/>
    </w:rPr>
  </w:style>
  <w:style w:type="character" w:styleId="Refdecomentario">
    <w:name w:val="annotation reference"/>
    <w:unhideWhenUsed/>
    <w:rsid w:val="00695902"/>
    <w:rPr>
      <w:sz w:val="16"/>
      <w:szCs w:val="16"/>
    </w:rPr>
  </w:style>
  <w:style w:type="paragraph" w:styleId="Asuntodelcomentario">
    <w:name w:val="annotation subject"/>
    <w:basedOn w:val="Textocomentario"/>
    <w:next w:val="Textocomentario"/>
    <w:link w:val="AsuntodelcomentarioCar"/>
    <w:rsid w:val="00552D6B"/>
    <w:pPr>
      <w:spacing w:after="200"/>
    </w:pPr>
    <w:rPr>
      <w:rFonts w:ascii="Corbel" w:eastAsia="Corbel" w:hAnsi="Corbel"/>
      <w:b/>
      <w:bCs/>
      <w:lang w:val="es-ES" w:eastAsia="en-US"/>
    </w:rPr>
  </w:style>
  <w:style w:type="character" w:customStyle="1" w:styleId="AsuntodelcomentarioCar">
    <w:name w:val="Asunto del comentario Car"/>
    <w:basedOn w:val="TextocomentarioCar"/>
    <w:link w:val="Asuntodelcomentario"/>
    <w:rsid w:val="00552D6B"/>
    <w:rPr>
      <w:rFonts w:ascii="Corbel" w:eastAsia="Corbel" w:hAnsi="Corbel"/>
      <w:b/>
      <w:bCs/>
      <w:lang w:val="es-ES_tradnl" w:eastAsia="en-US"/>
    </w:rPr>
  </w:style>
  <w:style w:type="paragraph" w:styleId="TDC1">
    <w:name w:val="toc 1"/>
    <w:basedOn w:val="ndice1"/>
    <w:next w:val="ndice1"/>
    <w:autoRedefine/>
    <w:uiPriority w:val="39"/>
    <w:unhideWhenUsed/>
    <w:rsid w:val="002B75A5"/>
    <w:pPr>
      <w:spacing w:before="240" w:after="120" w:line="276" w:lineRule="auto"/>
      <w:ind w:left="0" w:firstLine="0"/>
    </w:pPr>
    <w:rPr>
      <w:rFonts w:ascii="Arial" w:hAnsi="Arial" w:cstheme="minorHAnsi"/>
      <w:b/>
      <w:bCs/>
      <w:sz w:val="24"/>
      <w:szCs w:val="20"/>
    </w:rPr>
  </w:style>
  <w:style w:type="paragraph" w:styleId="TDC2">
    <w:name w:val="toc 2"/>
    <w:basedOn w:val="ndice2"/>
    <w:next w:val="ndice2"/>
    <w:autoRedefine/>
    <w:uiPriority w:val="39"/>
    <w:unhideWhenUsed/>
    <w:rsid w:val="002B75A5"/>
    <w:pPr>
      <w:spacing w:before="120" w:line="276" w:lineRule="auto"/>
      <w:ind w:left="220" w:firstLine="0"/>
    </w:pPr>
    <w:rPr>
      <w:rFonts w:ascii="Arial" w:hAnsi="Arial" w:cstheme="minorHAnsi"/>
      <w:b/>
      <w:iCs/>
      <w:sz w:val="20"/>
      <w:szCs w:val="20"/>
    </w:rPr>
  </w:style>
  <w:style w:type="paragraph" w:styleId="TDC3">
    <w:name w:val="toc 3"/>
    <w:basedOn w:val="ndice3"/>
    <w:next w:val="ndice3"/>
    <w:autoRedefine/>
    <w:uiPriority w:val="39"/>
    <w:unhideWhenUsed/>
    <w:rsid w:val="005040BE"/>
    <w:pPr>
      <w:spacing w:line="276" w:lineRule="auto"/>
      <w:ind w:left="440" w:firstLine="0"/>
    </w:pPr>
    <w:rPr>
      <w:rFonts w:ascii="Arial" w:hAnsi="Arial" w:cstheme="minorHAnsi"/>
      <w:sz w:val="20"/>
      <w:szCs w:val="20"/>
    </w:rPr>
  </w:style>
  <w:style w:type="character" w:customStyle="1" w:styleId="TtuloCar">
    <w:name w:val="Título Car"/>
    <w:aliases w:val="1. Título Car"/>
    <w:basedOn w:val="Fuentedeprrafopredeter"/>
    <w:link w:val="Ttulo"/>
    <w:locked/>
    <w:rsid w:val="00AF5A86"/>
    <w:rPr>
      <w:rFonts w:ascii="Arial" w:eastAsia="Corbel" w:hAnsi="Arial" w:cs="Arial"/>
      <w:b/>
      <w:caps/>
      <w:sz w:val="24"/>
      <w:szCs w:val="22"/>
      <w:lang w:eastAsia="en-US"/>
    </w:rPr>
  </w:style>
  <w:style w:type="paragraph" w:styleId="Ttulo">
    <w:name w:val="Title"/>
    <w:aliases w:val="1. Título"/>
    <w:basedOn w:val="Normal"/>
    <w:next w:val="Normal"/>
    <w:link w:val="TtuloCar"/>
    <w:qFormat/>
    <w:rsid w:val="00AF5A86"/>
    <w:pPr>
      <w:spacing w:before="480"/>
      <w:jc w:val="center"/>
      <w:outlineLvl w:val="0"/>
    </w:pPr>
    <w:rPr>
      <w:rFonts w:ascii="Arial" w:hAnsi="Arial" w:cs="Arial"/>
      <w:b/>
      <w:caps/>
      <w:sz w:val="24"/>
    </w:rPr>
  </w:style>
  <w:style w:type="character" w:customStyle="1" w:styleId="TtuloCar1">
    <w:name w:val="Título Car1"/>
    <w:basedOn w:val="Fuentedeprrafopredeter"/>
    <w:rsid w:val="00AF5A86"/>
    <w:rPr>
      <w:rFonts w:asciiTheme="majorHAnsi" w:eastAsiaTheme="majorEastAsia" w:hAnsiTheme="majorHAnsi" w:cstheme="majorBidi"/>
      <w:spacing w:val="-10"/>
      <w:kern w:val="28"/>
      <w:sz w:val="56"/>
      <w:szCs w:val="56"/>
      <w:lang w:eastAsia="en-US"/>
    </w:rPr>
  </w:style>
  <w:style w:type="character" w:customStyle="1" w:styleId="SubttuloCar">
    <w:name w:val="Subtítulo Car"/>
    <w:aliases w:val="2. Subtítulo Car"/>
    <w:basedOn w:val="Fuentedeprrafopredeter"/>
    <w:link w:val="Subttulo"/>
    <w:locked/>
    <w:rsid w:val="00AF5A86"/>
    <w:rPr>
      <w:rFonts w:ascii="Arial" w:eastAsia="Corbel" w:hAnsi="Arial" w:cs="Arial"/>
      <w:b/>
      <w:sz w:val="24"/>
      <w:szCs w:val="22"/>
      <w:lang w:val="pt-BR" w:eastAsia="en-US"/>
    </w:rPr>
  </w:style>
  <w:style w:type="paragraph" w:styleId="Subttulo">
    <w:name w:val="Subtitle"/>
    <w:aliases w:val="2. Subtítulo"/>
    <w:basedOn w:val="Normal"/>
    <w:next w:val="Normal"/>
    <w:link w:val="SubttuloCar"/>
    <w:qFormat/>
    <w:rsid w:val="00AF5A86"/>
    <w:pPr>
      <w:spacing w:before="240"/>
      <w:outlineLvl w:val="1"/>
    </w:pPr>
    <w:rPr>
      <w:rFonts w:ascii="Arial" w:hAnsi="Arial" w:cs="Arial"/>
      <w:b/>
      <w:sz w:val="24"/>
      <w:lang w:val="pt-BR"/>
    </w:rPr>
  </w:style>
  <w:style w:type="character" w:customStyle="1" w:styleId="SubttuloCar1">
    <w:name w:val="Subtítulo Car1"/>
    <w:basedOn w:val="Fuentedeprrafopredeter"/>
    <w:rsid w:val="00AF5A86"/>
    <w:rPr>
      <w:rFonts w:asciiTheme="minorHAnsi" w:eastAsiaTheme="minorEastAsia" w:hAnsiTheme="minorHAnsi" w:cstheme="minorBidi"/>
      <w:color w:val="5A5A5A" w:themeColor="text1" w:themeTint="A5"/>
      <w:spacing w:val="15"/>
      <w:sz w:val="22"/>
      <w:szCs w:val="22"/>
      <w:lang w:eastAsia="en-US"/>
    </w:rPr>
  </w:style>
  <w:style w:type="paragraph" w:styleId="Prrafodelista">
    <w:name w:val="List Paragraph"/>
    <w:basedOn w:val="Normal"/>
    <w:uiPriority w:val="34"/>
    <w:qFormat/>
    <w:rsid w:val="00AF5A86"/>
    <w:pPr>
      <w:ind w:left="720"/>
      <w:contextualSpacing/>
    </w:pPr>
  </w:style>
  <w:style w:type="paragraph" w:styleId="ndice1">
    <w:name w:val="index 1"/>
    <w:basedOn w:val="Normal"/>
    <w:next w:val="Normal"/>
    <w:autoRedefine/>
    <w:unhideWhenUsed/>
    <w:rsid w:val="00AF5A86"/>
    <w:pPr>
      <w:spacing w:after="0" w:line="240" w:lineRule="auto"/>
      <w:ind w:left="220" w:hanging="220"/>
    </w:pPr>
  </w:style>
  <w:style w:type="paragraph" w:styleId="ndice2">
    <w:name w:val="index 2"/>
    <w:basedOn w:val="Normal"/>
    <w:next w:val="Normal"/>
    <w:autoRedefine/>
    <w:unhideWhenUsed/>
    <w:rsid w:val="00AF5A86"/>
    <w:pPr>
      <w:spacing w:after="0" w:line="240" w:lineRule="auto"/>
      <w:ind w:left="440" w:hanging="220"/>
    </w:pPr>
  </w:style>
  <w:style w:type="paragraph" w:styleId="ndice3">
    <w:name w:val="index 3"/>
    <w:basedOn w:val="Normal"/>
    <w:next w:val="Normal"/>
    <w:autoRedefine/>
    <w:unhideWhenUsed/>
    <w:rsid w:val="00AF5A86"/>
    <w:pPr>
      <w:spacing w:after="0" w:line="240" w:lineRule="auto"/>
      <w:ind w:left="660" w:hanging="220"/>
    </w:pPr>
  </w:style>
  <w:style w:type="paragraph" w:styleId="Textonotapie">
    <w:name w:val="footnote text"/>
    <w:aliases w:val="Footnote Text Char,fn,Footnote Text Char2,Footnote Text Char1 Char1,Footnote Text Char Char Char,Footnote Text Char1 Char Char Char,Footnote Text Char Char Char Char Char,Footnote Text Char1 Char Char Char Char Char,Car,ft,10 p,10 pt"/>
    <w:basedOn w:val="Normal"/>
    <w:link w:val="TextonotapieCar"/>
    <w:unhideWhenUsed/>
    <w:qFormat/>
    <w:rsid w:val="00E45193"/>
    <w:pPr>
      <w:spacing w:after="0" w:line="240" w:lineRule="auto"/>
    </w:pPr>
    <w:rPr>
      <w:sz w:val="20"/>
      <w:szCs w:val="20"/>
    </w:rPr>
  </w:style>
  <w:style w:type="character" w:customStyle="1" w:styleId="TextonotapieCar">
    <w:name w:val="Texto nota pie Car"/>
    <w:aliases w:val="Footnote Text Char Car,fn Car,Footnote Text Char2 Car,Footnote Text Char1 Char1 Car,Footnote Text Char Char Char Car,Footnote Text Char1 Char Char Char Car,Footnote Text Char Char Char Char Char Car,Car Car,ft Car,10 p Car,10 pt Car"/>
    <w:basedOn w:val="Fuentedeprrafopredeter"/>
    <w:link w:val="Textonotapie"/>
    <w:qFormat/>
    <w:rsid w:val="00E45193"/>
    <w:rPr>
      <w:rFonts w:ascii="Corbel" w:eastAsia="Corbel" w:hAnsi="Corbel"/>
      <w:lang w:eastAsia="en-US"/>
    </w:rPr>
  </w:style>
  <w:style w:type="character" w:styleId="Refdenotaalpie">
    <w:name w:val="footnote reference"/>
    <w:aliases w:val="fr,Ref,de nota al pie,Footnote,o,(NECG) Footnote Reference,Style 6,Footnote Reference Superscript,Footnote symbol,Appel note de bas de p,Nota,BVI fnr,SUPERS,Voetnootmarkering1,Times 10 Point,Exposant 3 Point,PBO Footnote Reference"/>
    <w:basedOn w:val="Fuentedeprrafopredeter"/>
    <w:unhideWhenUsed/>
    <w:qFormat/>
    <w:rsid w:val="00E45193"/>
    <w:rPr>
      <w:vertAlign w:val="superscript"/>
    </w:rPr>
  </w:style>
  <w:style w:type="paragraph" w:styleId="Textonotaalfinal">
    <w:name w:val="endnote text"/>
    <w:basedOn w:val="Normal"/>
    <w:link w:val="TextonotaalfinalCar"/>
    <w:semiHidden/>
    <w:unhideWhenUsed/>
    <w:rsid w:val="00EE61D0"/>
    <w:pPr>
      <w:spacing w:after="0" w:line="240" w:lineRule="auto"/>
    </w:pPr>
    <w:rPr>
      <w:sz w:val="20"/>
      <w:szCs w:val="20"/>
    </w:rPr>
  </w:style>
  <w:style w:type="character" w:customStyle="1" w:styleId="TextonotaalfinalCar">
    <w:name w:val="Texto nota al final Car"/>
    <w:basedOn w:val="Fuentedeprrafopredeter"/>
    <w:link w:val="Textonotaalfinal"/>
    <w:semiHidden/>
    <w:rsid w:val="00EE61D0"/>
    <w:rPr>
      <w:rFonts w:ascii="Corbel" w:eastAsia="Corbel" w:hAnsi="Corbel"/>
      <w:lang w:eastAsia="en-US"/>
    </w:rPr>
  </w:style>
  <w:style w:type="character" w:styleId="Refdenotaalfinal">
    <w:name w:val="endnote reference"/>
    <w:basedOn w:val="Fuentedeprrafopredeter"/>
    <w:semiHidden/>
    <w:unhideWhenUsed/>
    <w:rsid w:val="00EE61D0"/>
    <w:rPr>
      <w:vertAlign w:val="superscript"/>
    </w:rPr>
  </w:style>
  <w:style w:type="paragraph" w:customStyle="1" w:styleId="Default">
    <w:name w:val="Default"/>
    <w:rsid w:val="000B1A48"/>
    <w:pPr>
      <w:autoSpaceDE w:val="0"/>
      <w:autoSpaceDN w:val="0"/>
      <w:adjustRightInd w:val="0"/>
    </w:pPr>
    <w:rPr>
      <w:rFonts w:ascii="Arial" w:hAnsi="Arial" w:cs="Arial"/>
      <w:color w:val="000000"/>
      <w:sz w:val="24"/>
      <w:szCs w:val="24"/>
    </w:rPr>
  </w:style>
  <w:style w:type="table" w:styleId="Tablaconcuadrcula">
    <w:name w:val="Table Grid"/>
    <w:basedOn w:val="Tablanormal"/>
    <w:rsid w:val="00B3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5. Título Centrado Car"/>
    <w:basedOn w:val="Fuentedeprrafopredeter"/>
    <w:link w:val="Ttulo1"/>
    <w:rsid w:val="00DA497C"/>
    <w:rPr>
      <w:rFonts w:ascii="Arial" w:hAnsi="Arial" w:cs="Arial"/>
      <w:b/>
      <w:sz w:val="28"/>
      <w:szCs w:val="28"/>
    </w:rPr>
  </w:style>
  <w:style w:type="character" w:customStyle="1" w:styleId="Ttulo2Car">
    <w:name w:val="Título 2 Car"/>
    <w:basedOn w:val="Fuentedeprrafopredeter"/>
    <w:link w:val="Ttulo2"/>
    <w:rsid w:val="002B75A5"/>
    <w:rPr>
      <w:rFonts w:ascii="Arial" w:eastAsiaTheme="majorEastAsia" w:hAnsi="Arial" w:cstheme="majorBidi"/>
      <w:b/>
      <w:bCs/>
      <w:sz w:val="24"/>
      <w:szCs w:val="26"/>
    </w:rPr>
  </w:style>
  <w:style w:type="character" w:customStyle="1" w:styleId="Ttulo3Car">
    <w:name w:val="Título 3 Car"/>
    <w:basedOn w:val="Fuentedeprrafopredeter"/>
    <w:link w:val="Ttulo3"/>
    <w:rsid w:val="002B75A5"/>
    <w:rPr>
      <w:rFonts w:ascii="Arial" w:eastAsiaTheme="majorEastAsia" w:hAnsi="Arial" w:cstheme="majorBidi"/>
      <w:b/>
      <w:bCs/>
      <w:sz w:val="24"/>
      <w:szCs w:val="24"/>
    </w:rPr>
  </w:style>
  <w:style w:type="paragraph" w:styleId="Mapadeldocumento">
    <w:name w:val="Document Map"/>
    <w:basedOn w:val="Normal"/>
    <w:link w:val="MapadeldocumentoCar"/>
    <w:semiHidden/>
    <w:rsid w:val="00DA497C"/>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A497C"/>
    <w:rPr>
      <w:rFonts w:ascii="Tahoma" w:eastAsia="Corbel" w:hAnsi="Tahoma" w:cs="Tahoma"/>
      <w:shd w:val="clear" w:color="auto" w:fill="000080"/>
      <w:lang w:eastAsia="en-US"/>
    </w:rPr>
  </w:style>
  <w:style w:type="paragraph" w:styleId="Sangradetextonormal">
    <w:name w:val="Body Text Indent"/>
    <w:basedOn w:val="Normal"/>
    <w:link w:val="SangradetextonormalCar"/>
    <w:rsid w:val="00DA497C"/>
    <w:pPr>
      <w:autoSpaceDE w:val="0"/>
      <w:autoSpaceDN w:val="0"/>
      <w:adjustRightInd w:val="0"/>
      <w:spacing w:after="120" w:line="360" w:lineRule="auto"/>
      <w:ind w:left="720"/>
      <w:jc w:val="both"/>
    </w:pPr>
    <w:rPr>
      <w:rFonts w:ascii="Arial" w:eastAsia="Times New Roman" w:hAnsi="Arial" w:cs="Arial"/>
      <w:sz w:val="24"/>
      <w:szCs w:val="20"/>
      <w:lang w:val="en-GB" w:eastAsia="de-DE"/>
    </w:rPr>
  </w:style>
  <w:style w:type="character" w:customStyle="1" w:styleId="SangradetextonormalCar">
    <w:name w:val="Sangría de texto normal Car"/>
    <w:basedOn w:val="Fuentedeprrafopredeter"/>
    <w:link w:val="Sangradetextonormal"/>
    <w:rsid w:val="00DA497C"/>
    <w:rPr>
      <w:rFonts w:ascii="Arial" w:hAnsi="Arial" w:cs="Arial"/>
      <w:sz w:val="24"/>
      <w:lang w:val="en-GB" w:eastAsia="de-DE"/>
    </w:rPr>
  </w:style>
  <w:style w:type="paragraph" w:styleId="Sangra2detindependiente">
    <w:name w:val="Body Text Indent 2"/>
    <w:basedOn w:val="Normal"/>
    <w:link w:val="Sangra2detindependienteCar"/>
    <w:rsid w:val="00DA497C"/>
    <w:pPr>
      <w:autoSpaceDE w:val="0"/>
      <w:autoSpaceDN w:val="0"/>
      <w:adjustRightInd w:val="0"/>
      <w:spacing w:after="120" w:line="360" w:lineRule="auto"/>
      <w:ind w:left="1260" w:hanging="540"/>
      <w:jc w:val="both"/>
    </w:pPr>
    <w:rPr>
      <w:rFonts w:ascii="Arial" w:eastAsia="Times New Roman" w:hAnsi="Arial" w:cs="Arial"/>
      <w:sz w:val="24"/>
      <w:szCs w:val="24"/>
      <w:lang w:val="en-GB" w:eastAsia="de-DE"/>
    </w:rPr>
  </w:style>
  <w:style w:type="character" w:customStyle="1" w:styleId="Sangra2detindependienteCar">
    <w:name w:val="Sangría 2 de t. independiente Car"/>
    <w:basedOn w:val="Fuentedeprrafopredeter"/>
    <w:link w:val="Sangra2detindependiente"/>
    <w:rsid w:val="00DA497C"/>
    <w:rPr>
      <w:rFonts w:ascii="Arial" w:hAnsi="Arial" w:cs="Arial"/>
      <w:sz w:val="24"/>
      <w:szCs w:val="24"/>
      <w:lang w:val="en-GB" w:eastAsia="de-DE"/>
    </w:rPr>
  </w:style>
  <w:style w:type="paragraph" w:styleId="NormalWeb">
    <w:name w:val="Normal (Web)"/>
    <w:basedOn w:val="Normal"/>
    <w:rsid w:val="00DA497C"/>
    <w:pPr>
      <w:spacing w:before="100" w:beforeAutospacing="1" w:after="100" w:afterAutospacing="1" w:line="240" w:lineRule="auto"/>
      <w:jc w:val="both"/>
    </w:pPr>
    <w:rPr>
      <w:rFonts w:ascii="Arial" w:eastAsia="Times New Roman" w:hAnsi="Arial" w:cs="Arial"/>
      <w:sz w:val="24"/>
      <w:szCs w:val="24"/>
      <w:lang w:val="de-DE" w:eastAsia="de-DE"/>
    </w:rPr>
  </w:style>
  <w:style w:type="paragraph" w:styleId="Sangra3detindependiente">
    <w:name w:val="Body Text Indent 3"/>
    <w:basedOn w:val="Normal"/>
    <w:link w:val="Sangra3detindependienteCar"/>
    <w:rsid w:val="00DA497C"/>
    <w:pPr>
      <w:spacing w:after="120" w:line="240" w:lineRule="auto"/>
      <w:ind w:left="709"/>
      <w:jc w:val="both"/>
    </w:pPr>
    <w:rPr>
      <w:rFonts w:ascii="Arial" w:eastAsia="Times New Roman" w:hAnsi="Arial" w:cs="Arial"/>
      <w:sz w:val="24"/>
      <w:szCs w:val="24"/>
      <w:lang w:val="x-none" w:eastAsia="x-none"/>
    </w:rPr>
  </w:style>
  <w:style w:type="character" w:customStyle="1" w:styleId="Sangra3detindependienteCar">
    <w:name w:val="Sangría 3 de t. independiente Car"/>
    <w:basedOn w:val="Fuentedeprrafopredeter"/>
    <w:link w:val="Sangra3detindependiente"/>
    <w:rsid w:val="00DA497C"/>
    <w:rPr>
      <w:rFonts w:ascii="Arial" w:hAnsi="Arial" w:cs="Arial"/>
      <w:sz w:val="24"/>
      <w:szCs w:val="24"/>
      <w:lang w:val="x-none" w:eastAsia="x-none"/>
    </w:rPr>
  </w:style>
  <w:style w:type="character" w:styleId="AcrnimoHTML">
    <w:name w:val="HTML Acronym"/>
    <w:uiPriority w:val="99"/>
    <w:rsid w:val="00DA497C"/>
  </w:style>
  <w:style w:type="paragraph" w:styleId="Textoindependiente">
    <w:name w:val="Body Text"/>
    <w:basedOn w:val="Normal"/>
    <w:link w:val="TextoindependienteCar"/>
    <w:rsid w:val="00DA497C"/>
    <w:pPr>
      <w:spacing w:after="120" w:line="240" w:lineRule="auto"/>
      <w:jc w:val="both"/>
    </w:pPr>
    <w:rPr>
      <w:rFonts w:ascii="Arial" w:eastAsia="Times New Roman" w:hAnsi="Arial" w:cs="Arial"/>
      <w:sz w:val="24"/>
      <w:szCs w:val="24"/>
      <w:lang w:val="x-none" w:eastAsia="x-none"/>
    </w:rPr>
  </w:style>
  <w:style w:type="character" w:customStyle="1" w:styleId="TextoindependienteCar">
    <w:name w:val="Texto independiente Car"/>
    <w:basedOn w:val="Fuentedeprrafopredeter"/>
    <w:link w:val="Textoindependiente"/>
    <w:rsid w:val="00DA497C"/>
    <w:rPr>
      <w:rFonts w:ascii="Arial" w:hAnsi="Arial" w:cs="Arial"/>
      <w:sz w:val="24"/>
      <w:szCs w:val="24"/>
      <w:lang w:val="x-none" w:eastAsia="x-none"/>
    </w:rPr>
  </w:style>
  <w:style w:type="character" w:customStyle="1" w:styleId="PiedepginaCar">
    <w:name w:val="Pie de página Car"/>
    <w:link w:val="Piedepgina"/>
    <w:uiPriority w:val="99"/>
    <w:rsid w:val="00DA497C"/>
    <w:rPr>
      <w:rFonts w:ascii="Corbel" w:eastAsia="Corbel" w:hAnsi="Corbel"/>
      <w:sz w:val="22"/>
      <w:szCs w:val="22"/>
      <w:lang w:eastAsia="en-US"/>
    </w:rPr>
  </w:style>
  <w:style w:type="character" w:styleId="Ttulodellibro">
    <w:name w:val="Book Title"/>
    <w:uiPriority w:val="33"/>
    <w:rsid w:val="00DA497C"/>
    <w:rPr>
      <w:b/>
      <w:sz w:val="28"/>
      <w:szCs w:val="28"/>
      <w:lang w:val="pt-BR"/>
    </w:rPr>
  </w:style>
  <w:style w:type="paragraph" w:customStyle="1" w:styleId="6NormalNumerado">
    <w:name w:val="6. Normal Numerado"/>
    <w:basedOn w:val="Prrafodelista"/>
    <w:qFormat/>
    <w:rsid w:val="00DA497C"/>
    <w:pPr>
      <w:numPr>
        <w:numId w:val="2"/>
      </w:numPr>
      <w:spacing w:after="120" w:line="240" w:lineRule="auto"/>
      <w:ind w:left="567" w:hanging="567"/>
      <w:contextualSpacing w:val="0"/>
      <w:jc w:val="both"/>
    </w:pPr>
    <w:rPr>
      <w:rFonts w:ascii="Arial" w:hAnsi="Arial" w:cs="Arial"/>
      <w:sz w:val="24"/>
    </w:rPr>
  </w:style>
  <w:style w:type="paragraph" w:customStyle="1" w:styleId="4Apartados">
    <w:name w:val="4. Apartados"/>
    <w:basedOn w:val="Ttulo3"/>
    <w:qFormat/>
    <w:rsid w:val="00DA497C"/>
    <w:pPr>
      <w:spacing w:before="180"/>
    </w:pPr>
    <w:rPr>
      <w:b w:val="0"/>
      <w:i/>
      <w:lang w:val="pt-BR"/>
    </w:rPr>
  </w:style>
  <w:style w:type="paragraph" w:styleId="TtuloTDC">
    <w:name w:val="TOC Heading"/>
    <w:basedOn w:val="Ttulo1"/>
    <w:next w:val="Normal"/>
    <w:uiPriority w:val="39"/>
    <w:unhideWhenUsed/>
    <w:qFormat/>
    <w:rsid w:val="00DA497C"/>
    <w:pPr>
      <w:keepNext/>
      <w:keepLines/>
      <w:spacing w:before="480" w:after="0" w:line="276" w:lineRule="auto"/>
      <w:jc w:val="left"/>
      <w:outlineLvl w:val="9"/>
    </w:pPr>
    <w:rPr>
      <w:rFonts w:asciiTheme="majorHAnsi" w:eastAsiaTheme="majorEastAsia" w:hAnsiTheme="majorHAnsi" w:cstheme="majorBidi"/>
      <w:bCs/>
      <w:color w:val="365F91" w:themeColor="accent1" w:themeShade="BF"/>
    </w:rPr>
  </w:style>
  <w:style w:type="paragraph" w:styleId="TDC4">
    <w:name w:val="toc 4"/>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DC5">
    <w:name w:val="toc 5"/>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DC6">
    <w:name w:val="toc 6"/>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DC7">
    <w:name w:val="toc 7"/>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DC8">
    <w:name w:val="toc 8"/>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DC9">
    <w:name w:val="toc 9"/>
    <w:basedOn w:val="Normal"/>
    <w:next w:val="Normal"/>
    <w:autoRedefine/>
    <w:rsid w:val="00DA497C"/>
    <w:pPr>
      <w:spacing w:after="0" w:line="240" w:lineRule="auto"/>
    </w:pPr>
    <w:rPr>
      <w:rFonts w:asciiTheme="minorHAnsi" w:eastAsia="Times New Roman" w:hAnsiTheme="minorHAnsi" w:cstheme="minorHAnsi"/>
      <w:lang w:eastAsia="es-ES"/>
    </w:rPr>
  </w:style>
  <w:style w:type="paragraph" w:styleId="Textoindependiente2">
    <w:name w:val="Body Text 2"/>
    <w:basedOn w:val="Normal"/>
    <w:link w:val="Textoindependiente2Car"/>
    <w:rsid w:val="00DA497C"/>
    <w:pPr>
      <w:spacing w:after="120" w:line="480" w:lineRule="auto"/>
    </w:pPr>
  </w:style>
  <w:style w:type="character" w:customStyle="1" w:styleId="Textoindependiente2Car">
    <w:name w:val="Texto independiente 2 Car"/>
    <w:basedOn w:val="Fuentedeprrafopredeter"/>
    <w:link w:val="Textoindependiente2"/>
    <w:rsid w:val="00DA497C"/>
    <w:rPr>
      <w:rFonts w:ascii="Corbel" w:eastAsia="Corbel" w:hAnsi="Corbel"/>
      <w:sz w:val="22"/>
      <w:szCs w:val="22"/>
      <w:lang w:eastAsia="en-US"/>
    </w:rPr>
  </w:style>
  <w:style w:type="paragraph" w:customStyle="1" w:styleId="a">
    <w:name w:val="a"/>
    <w:basedOn w:val="Textoindependiente2"/>
    <w:rsid w:val="00DA497C"/>
    <w:pPr>
      <w:spacing w:line="288" w:lineRule="auto"/>
      <w:jc w:val="both"/>
    </w:pPr>
    <w:rPr>
      <w:rFonts w:ascii="Arial" w:eastAsia="Times New Roman" w:hAnsi="Arial" w:cs="Arial"/>
      <w:color w:val="000000"/>
      <w:sz w:val="24"/>
      <w:szCs w:val="24"/>
      <w:lang w:eastAsia="es-ES"/>
    </w:rPr>
  </w:style>
  <w:style w:type="paragraph" w:customStyle="1" w:styleId="5Normal">
    <w:name w:val="5 Normal"/>
    <w:rsid w:val="00DA497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rPr>
  </w:style>
  <w:style w:type="paragraph" w:styleId="Revisin">
    <w:name w:val="Revision"/>
    <w:hidden/>
    <w:uiPriority w:val="99"/>
    <w:semiHidden/>
    <w:rsid w:val="00DA497C"/>
    <w:rPr>
      <w:rFonts w:ascii="Corbel" w:eastAsia="Corbel" w:hAnsi="Corbel"/>
      <w:sz w:val="22"/>
      <w:szCs w:val="22"/>
      <w:lang w:eastAsia="en-US"/>
    </w:rPr>
  </w:style>
  <w:style w:type="character" w:styleId="Hipervnculovisitado">
    <w:name w:val="FollowedHyperlink"/>
    <w:basedOn w:val="Fuentedeprrafopredeter"/>
    <w:semiHidden/>
    <w:unhideWhenUsed/>
    <w:rsid w:val="00DA497C"/>
    <w:rPr>
      <w:color w:val="800080" w:themeColor="followedHyperlink"/>
      <w:u w:val="single"/>
    </w:rPr>
  </w:style>
  <w:style w:type="numbering" w:customStyle="1" w:styleId="Estilo1">
    <w:name w:val="Estilo1"/>
    <w:uiPriority w:val="99"/>
    <w:rsid w:val="00E26DB5"/>
    <w:pPr>
      <w:numPr>
        <w:numId w:val="3"/>
      </w:numPr>
    </w:pPr>
  </w:style>
  <w:style w:type="character" w:customStyle="1" w:styleId="Ttulo4Car">
    <w:name w:val="Título 4 Car"/>
    <w:basedOn w:val="Fuentedeprrafopredeter"/>
    <w:link w:val="Ttulo4"/>
    <w:rsid w:val="002B75A5"/>
    <w:rPr>
      <w:rFonts w:ascii="Arial" w:eastAsiaTheme="majorEastAsia" w:hAnsi="Arial" w:cstheme="majorBidi"/>
      <w:b/>
      <w:i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20298">
      <w:bodyDiv w:val="1"/>
      <w:marLeft w:val="0"/>
      <w:marRight w:val="0"/>
      <w:marTop w:val="0"/>
      <w:marBottom w:val="0"/>
      <w:divBdr>
        <w:top w:val="none" w:sz="0" w:space="0" w:color="auto"/>
        <w:left w:val="none" w:sz="0" w:space="0" w:color="auto"/>
        <w:bottom w:val="none" w:sz="0" w:space="0" w:color="auto"/>
        <w:right w:val="none" w:sz="0" w:space="0" w:color="auto"/>
      </w:divBdr>
    </w:div>
    <w:div w:id="99107191">
      <w:bodyDiv w:val="1"/>
      <w:marLeft w:val="0"/>
      <w:marRight w:val="0"/>
      <w:marTop w:val="0"/>
      <w:marBottom w:val="0"/>
      <w:divBdr>
        <w:top w:val="none" w:sz="0" w:space="0" w:color="auto"/>
        <w:left w:val="none" w:sz="0" w:space="0" w:color="auto"/>
        <w:bottom w:val="none" w:sz="0" w:space="0" w:color="auto"/>
        <w:right w:val="none" w:sz="0" w:space="0" w:color="auto"/>
      </w:divBdr>
    </w:div>
    <w:div w:id="230427970">
      <w:bodyDiv w:val="1"/>
      <w:marLeft w:val="0"/>
      <w:marRight w:val="0"/>
      <w:marTop w:val="0"/>
      <w:marBottom w:val="0"/>
      <w:divBdr>
        <w:top w:val="none" w:sz="0" w:space="0" w:color="auto"/>
        <w:left w:val="none" w:sz="0" w:space="0" w:color="auto"/>
        <w:bottom w:val="none" w:sz="0" w:space="0" w:color="auto"/>
        <w:right w:val="none" w:sz="0" w:space="0" w:color="auto"/>
      </w:divBdr>
    </w:div>
    <w:div w:id="2781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nm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anos\AppData\Local\Microsoft\Windows\Temporary%20Internet%20Files\Content.Outlook\61OSU7QP\CNC%20documento%20si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62DE2B0-C9A3-422D-9FC0-FBFE7089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CNC documento sin dirección.dot</Template>
  <TotalTime>1381</TotalTime>
  <Pages>17</Pages>
  <Words>5784</Words>
  <Characters>29962</Characters>
  <Application>Microsoft Office Word</Application>
  <DocSecurity>0</DocSecurity>
  <Lines>249</Lines>
  <Paragraphs>71</Paragraphs>
  <ScaleCrop>false</ScaleCrop>
  <HeadingPairs>
    <vt:vector size="2" baseType="variant">
      <vt:variant>
        <vt:lpstr>Título</vt:lpstr>
      </vt:variant>
      <vt:variant>
        <vt:i4>1</vt:i4>
      </vt:variant>
    </vt:vector>
  </HeadingPairs>
  <TitlesOfParts>
    <vt:vector size="1" baseType="lpstr">
      <vt:lpstr/>
    </vt:vector>
  </TitlesOfParts>
  <Company>SUBSECRETARIA MEH</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Paños Fagundo, Pedro Pablo</dc:creator>
  <cp:lastModifiedBy>Herranz Cámara, Carmen</cp:lastModifiedBy>
  <cp:revision>46</cp:revision>
  <cp:lastPrinted>2021-07-30T09:01:00Z</cp:lastPrinted>
  <dcterms:created xsi:type="dcterms:W3CDTF">2021-07-08T11:32:00Z</dcterms:created>
  <dcterms:modified xsi:type="dcterms:W3CDTF">2021-07-30T09:01:00Z</dcterms:modified>
</cp:coreProperties>
</file>