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3813" w14:textId="77777777" w:rsidR="007D2F16" w:rsidRDefault="007D2F16">
      <w:pPr>
        <w:pStyle w:val="Textoindependiente2"/>
        <w:rPr>
          <w:rFonts w:cs="Arial"/>
          <w:szCs w:val="24"/>
        </w:rPr>
      </w:pPr>
    </w:p>
    <w:p w14:paraId="7B340A5D" w14:textId="77777777" w:rsidR="007D2F16" w:rsidRDefault="007D2F16">
      <w:pPr>
        <w:pStyle w:val="Textoindependiente2"/>
        <w:rPr>
          <w:rFonts w:cs="Arial"/>
          <w:szCs w:val="24"/>
        </w:rPr>
      </w:pPr>
    </w:p>
    <w:p w14:paraId="167E8D58" w14:textId="77777777" w:rsidR="007D2F16" w:rsidRDefault="007D2F16">
      <w:pPr>
        <w:pStyle w:val="Textoindependiente2"/>
        <w:rPr>
          <w:rFonts w:cs="Arial"/>
          <w:szCs w:val="24"/>
        </w:rPr>
      </w:pPr>
    </w:p>
    <w:p w14:paraId="100130AE" w14:textId="77777777" w:rsidR="007D2F16" w:rsidRDefault="007D2F16">
      <w:pPr>
        <w:pStyle w:val="Textoindependiente2"/>
        <w:rPr>
          <w:rFonts w:cs="Arial"/>
          <w:szCs w:val="24"/>
        </w:rPr>
      </w:pPr>
    </w:p>
    <w:p w14:paraId="18B5302C" w14:textId="4FF36CEE" w:rsidR="007D2F16" w:rsidRDefault="007D2F16">
      <w:pPr>
        <w:pStyle w:val="Textoindependiente2"/>
        <w:rPr>
          <w:rFonts w:cs="Arial"/>
          <w:szCs w:val="24"/>
        </w:rPr>
      </w:pPr>
    </w:p>
    <w:p w14:paraId="7A05BADC" w14:textId="05B1ED89" w:rsidR="007D2F16" w:rsidRDefault="007D2F16">
      <w:pPr>
        <w:pStyle w:val="Textoindependiente2"/>
        <w:rPr>
          <w:rFonts w:cs="Arial"/>
          <w:szCs w:val="24"/>
        </w:rPr>
      </w:pPr>
    </w:p>
    <w:p w14:paraId="48DE7093" w14:textId="7B45C373" w:rsidR="007D2F16" w:rsidRDefault="007D2F16">
      <w:pPr>
        <w:pStyle w:val="Textoindependiente2"/>
        <w:rPr>
          <w:rFonts w:cs="Arial"/>
          <w:szCs w:val="24"/>
        </w:rPr>
      </w:pPr>
    </w:p>
    <w:p w14:paraId="18918B8D" w14:textId="48A6C146" w:rsidR="007D2F16" w:rsidRDefault="003814C2">
      <w:pPr>
        <w:pStyle w:val="Textoindependiente2"/>
        <w:rPr>
          <w:rFonts w:cs="Arial"/>
          <w:szCs w:val="24"/>
        </w:rPr>
      </w:pPr>
      <w:r>
        <w:rPr>
          <w:noProof/>
        </w:rPr>
        <w:drawing>
          <wp:anchor distT="0" distB="0" distL="114300" distR="114300" simplePos="0" relativeHeight="251658752" behindDoc="0" locked="0" layoutInCell="1" allowOverlap="1" wp14:anchorId="7CAD3426" wp14:editId="22389AEA">
            <wp:simplePos x="0" y="0"/>
            <wp:positionH relativeFrom="column">
              <wp:posOffset>1555750</wp:posOffset>
            </wp:positionH>
            <wp:positionV relativeFrom="page">
              <wp:posOffset>2133600</wp:posOffset>
            </wp:positionV>
            <wp:extent cx="2400300" cy="575945"/>
            <wp:effectExtent l="0" t="0" r="0"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575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35307" w14:textId="77777777" w:rsidR="007D2F16" w:rsidRDefault="007D2F16">
      <w:pPr>
        <w:pStyle w:val="Textoindependiente2"/>
        <w:rPr>
          <w:rFonts w:cs="Arial"/>
          <w:szCs w:val="24"/>
        </w:rPr>
      </w:pPr>
    </w:p>
    <w:p w14:paraId="6EB4ECDC" w14:textId="77777777" w:rsidR="007D2F16" w:rsidRDefault="007D2F16">
      <w:pPr>
        <w:pStyle w:val="Textoindependiente2"/>
        <w:rPr>
          <w:rFonts w:cs="Arial"/>
          <w:szCs w:val="24"/>
        </w:rPr>
      </w:pPr>
    </w:p>
    <w:p w14:paraId="2DEFB267" w14:textId="77777777" w:rsidR="007D2F16" w:rsidRDefault="007D2F16">
      <w:pPr>
        <w:pStyle w:val="Textoindependiente2"/>
        <w:rPr>
          <w:rFonts w:cs="Arial"/>
          <w:szCs w:val="24"/>
        </w:rPr>
      </w:pPr>
    </w:p>
    <w:p w14:paraId="5F9BE445" w14:textId="77777777" w:rsidR="007D2F16" w:rsidRDefault="007D2F16">
      <w:pPr>
        <w:pStyle w:val="Textoindependiente2"/>
        <w:rPr>
          <w:rFonts w:cs="Arial"/>
          <w:szCs w:val="24"/>
        </w:rPr>
      </w:pPr>
    </w:p>
    <w:p w14:paraId="7A911683" w14:textId="77777777" w:rsidR="007D2F16" w:rsidRDefault="007D2F16">
      <w:pPr>
        <w:pStyle w:val="Textoindependiente2"/>
        <w:rPr>
          <w:rFonts w:cs="Arial"/>
          <w:szCs w:val="24"/>
        </w:rPr>
      </w:pPr>
    </w:p>
    <w:p w14:paraId="2B198B90" w14:textId="60BA6FD1" w:rsidR="007D2F16" w:rsidRDefault="007D2F16">
      <w:pPr>
        <w:pStyle w:val="Textoindependiente2"/>
        <w:rPr>
          <w:rFonts w:cs="Arial"/>
          <w:szCs w:val="24"/>
        </w:rPr>
      </w:pPr>
    </w:p>
    <w:p w14:paraId="0E0BE36A" w14:textId="77777777" w:rsidR="007D2F16" w:rsidRDefault="007D2F16">
      <w:pPr>
        <w:pStyle w:val="Textoindependiente2"/>
        <w:rPr>
          <w:rFonts w:cs="Arial"/>
          <w:szCs w:val="24"/>
        </w:rPr>
      </w:pPr>
    </w:p>
    <w:p w14:paraId="792013A6" w14:textId="77777777" w:rsidR="007D2F16" w:rsidRDefault="007D2F16">
      <w:pPr>
        <w:pStyle w:val="Textoindependiente2"/>
        <w:rPr>
          <w:rFonts w:cs="Arial"/>
          <w:szCs w:val="24"/>
        </w:rPr>
      </w:pPr>
    </w:p>
    <w:p w14:paraId="5E9EC5B5" w14:textId="77777777" w:rsidR="007D2F16" w:rsidRDefault="007D2F16">
      <w:pPr>
        <w:pStyle w:val="Textoindependiente2"/>
        <w:rPr>
          <w:rFonts w:cs="Arial"/>
          <w:szCs w:val="24"/>
        </w:rPr>
      </w:pPr>
    </w:p>
    <w:p w14:paraId="0C139B15" w14:textId="77777777" w:rsidR="007D2F16" w:rsidRDefault="007D2F16">
      <w:pPr>
        <w:pStyle w:val="Textoindependiente2"/>
        <w:rPr>
          <w:rFonts w:cs="Arial"/>
          <w:szCs w:val="24"/>
        </w:rPr>
      </w:pPr>
    </w:p>
    <w:p w14:paraId="67311E70" w14:textId="77777777" w:rsidR="007D2F16" w:rsidRDefault="007D2F16">
      <w:pPr>
        <w:pStyle w:val="Textoindependiente2"/>
        <w:rPr>
          <w:rFonts w:cs="Arial"/>
          <w:szCs w:val="24"/>
        </w:rPr>
      </w:pPr>
    </w:p>
    <w:p w14:paraId="62699629" w14:textId="7EF075A4" w:rsidR="007D2F16" w:rsidRDefault="005D1B4C">
      <w:pPr>
        <w:pStyle w:val="PORTADATITULO"/>
        <w:framePr w:w="7629" w:wrap="around" w:hAnchor="page" w:x="2159" w:y="7096"/>
        <w:rPr>
          <w:rFonts w:ascii="Arial" w:hAnsi="Arial" w:cs="Arial"/>
          <w:sz w:val="22"/>
        </w:rPr>
      </w:pPr>
      <w:r w:rsidRPr="005D1B4C">
        <w:rPr>
          <w:rFonts w:ascii="Arial" w:hAnsi="Arial" w:cs="Arial"/>
          <w:sz w:val="32"/>
        </w:rPr>
        <w:t xml:space="preserve">PROCEDIMIENTO </w:t>
      </w:r>
      <w:r w:rsidR="00F94FBC">
        <w:rPr>
          <w:rFonts w:ascii="Arial" w:hAnsi="Arial" w:cs="Arial"/>
          <w:sz w:val="32"/>
        </w:rPr>
        <w:t>‘</w:t>
      </w:r>
      <w:r w:rsidRPr="005D1B4C">
        <w:rPr>
          <w:rFonts w:ascii="Arial" w:hAnsi="Arial" w:cs="Arial"/>
          <w:sz w:val="32"/>
        </w:rPr>
        <w:t>A</w:t>
      </w:r>
      <w:r w:rsidR="00F94FBC">
        <w:rPr>
          <w:rFonts w:ascii="Arial" w:hAnsi="Arial" w:cs="Arial"/>
          <w:sz w:val="32"/>
        </w:rPr>
        <w:t>’</w:t>
      </w:r>
      <w:r w:rsidRPr="005D1B4C">
        <w:rPr>
          <w:rFonts w:ascii="Arial" w:hAnsi="Arial" w:cs="Arial"/>
          <w:sz w:val="32"/>
        </w:rPr>
        <w:t xml:space="preserve"> DE REGULARIZACIÓN DE LAS OCUPACIONES IRREGULARE</w:t>
      </w:r>
      <w:r>
        <w:rPr>
          <w:rFonts w:ascii="Arial" w:hAnsi="Arial" w:cs="Arial"/>
          <w:sz w:val="32"/>
        </w:rPr>
        <w:t>s</w:t>
      </w:r>
      <w:r w:rsidR="007D2F16">
        <w:rPr>
          <w:rFonts w:ascii="Arial" w:hAnsi="Arial" w:cs="Arial"/>
          <w:sz w:val="22"/>
        </w:rPr>
        <w:t xml:space="preserve"> </w:t>
      </w:r>
    </w:p>
    <w:p w14:paraId="07B29D2E" w14:textId="77777777" w:rsidR="007D2F16" w:rsidRDefault="007D2F16">
      <w:pPr>
        <w:pStyle w:val="PORTADATITULO"/>
        <w:framePr w:w="7629" w:wrap="around" w:hAnchor="page" w:x="2159" w:y="7096"/>
        <w:rPr>
          <w:rFonts w:ascii="Arial" w:hAnsi="Arial" w:cs="Arial"/>
          <w:sz w:val="22"/>
        </w:rPr>
      </w:pPr>
    </w:p>
    <w:p w14:paraId="6A44B1F8" w14:textId="77777777" w:rsidR="007D2F16" w:rsidRDefault="007D2F16">
      <w:pPr>
        <w:pStyle w:val="Textoindependiente2"/>
        <w:rPr>
          <w:rFonts w:cs="Arial"/>
          <w:szCs w:val="24"/>
          <w:lang w:val="es-ES"/>
        </w:rPr>
      </w:pPr>
    </w:p>
    <w:p w14:paraId="686C6323" w14:textId="77777777" w:rsidR="007D2F16" w:rsidRDefault="007D2F16">
      <w:pPr>
        <w:pStyle w:val="Textoindependiente2"/>
        <w:rPr>
          <w:rFonts w:cs="Arial"/>
          <w:szCs w:val="24"/>
        </w:rPr>
      </w:pPr>
    </w:p>
    <w:p w14:paraId="21243312" w14:textId="77777777" w:rsidR="007D2F16" w:rsidRDefault="007D2F16">
      <w:pPr>
        <w:pStyle w:val="Textoindependiente2"/>
        <w:rPr>
          <w:rFonts w:cs="Arial"/>
          <w:szCs w:val="24"/>
        </w:rPr>
      </w:pPr>
    </w:p>
    <w:p w14:paraId="04C80EF6" w14:textId="77777777" w:rsidR="007D2F16" w:rsidRDefault="007D2F16">
      <w:pPr>
        <w:pStyle w:val="Textoindependiente2"/>
        <w:rPr>
          <w:rFonts w:cs="Arial"/>
          <w:szCs w:val="24"/>
        </w:rPr>
      </w:pPr>
    </w:p>
    <w:p w14:paraId="09F2A98B" w14:textId="77777777" w:rsidR="007D2F16" w:rsidRDefault="007D2F16">
      <w:pPr>
        <w:pStyle w:val="Textoindependiente2"/>
        <w:rPr>
          <w:rFonts w:cs="Arial"/>
          <w:szCs w:val="24"/>
        </w:rPr>
      </w:pPr>
    </w:p>
    <w:p w14:paraId="3D5EF97C" w14:textId="77777777" w:rsidR="007D2F16" w:rsidRDefault="007D2F16">
      <w:pPr>
        <w:pStyle w:val="Textoindependiente2"/>
        <w:rPr>
          <w:rFonts w:cs="Arial"/>
          <w:szCs w:val="24"/>
        </w:rPr>
      </w:pPr>
    </w:p>
    <w:p w14:paraId="7F95E887" w14:textId="77777777" w:rsidR="007D2F16" w:rsidRDefault="007D2F16">
      <w:pPr>
        <w:pStyle w:val="Textoindependiente2"/>
        <w:rPr>
          <w:rFonts w:cs="Arial"/>
          <w:szCs w:val="24"/>
        </w:rPr>
      </w:pPr>
    </w:p>
    <w:p w14:paraId="3506851F" w14:textId="77777777" w:rsidR="007D2F16" w:rsidRDefault="007D2F16">
      <w:pPr>
        <w:pStyle w:val="Textoindependiente2"/>
        <w:rPr>
          <w:rFonts w:cs="Arial"/>
          <w:szCs w:val="24"/>
        </w:rPr>
      </w:pPr>
    </w:p>
    <w:p w14:paraId="562DB653" w14:textId="77777777" w:rsidR="007D2F16" w:rsidRDefault="007D2F16">
      <w:pPr>
        <w:pStyle w:val="Textoindependiente2"/>
        <w:rPr>
          <w:rFonts w:cs="Arial"/>
          <w:szCs w:val="24"/>
        </w:rPr>
      </w:pPr>
    </w:p>
    <w:p w14:paraId="32B8739B" w14:textId="77777777" w:rsidR="007D2F16" w:rsidRDefault="007D2F16">
      <w:pPr>
        <w:pStyle w:val="Textoindependiente2"/>
        <w:rPr>
          <w:rFonts w:cs="Arial"/>
          <w:szCs w:val="24"/>
        </w:rPr>
      </w:pPr>
    </w:p>
    <w:p w14:paraId="6937D8E6" w14:textId="77777777" w:rsidR="007D2F16" w:rsidRDefault="007D2F16">
      <w:pPr>
        <w:pStyle w:val="Textoindependiente2"/>
        <w:rPr>
          <w:rFonts w:cs="Arial"/>
          <w:szCs w:val="24"/>
        </w:rPr>
      </w:pPr>
    </w:p>
    <w:p w14:paraId="1E88D65C" w14:textId="77777777" w:rsidR="007D2F16" w:rsidRDefault="007D2F16">
      <w:pPr>
        <w:pStyle w:val="Textoindependiente2"/>
        <w:rPr>
          <w:rFonts w:cs="Arial"/>
          <w:szCs w:val="24"/>
        </w:rPr>
      </w:pPr>
    </w:p>
    <w:p w14:paraId="029442FE" w14:textId="77777777" w:rsidR="007D2F16" w:rsidRDefault="007D2F16">
      <w:pPr>
        <w:pStyle w:val="Textoindependiente2"/>
        <w:rPr>
          <w:rFonts w:cs="Arial"/>
          <w:szCs w:val="24"/>
        </w:rPr>
      </w:pPr>
    </w:p>
    <w:p w14:paraId="0CDACD43" w14:textId="77777777" w:rsidR="007D2F16" w:rsidRDefault="007D2F16">
      <w:pPr>
        <w:pStyle w:val="Textoindependiente2"/>
        <w:rPr>
          <w:rFonts w:cs="Arial"/>
          <w:szCs w:val="24"/>
        </w:rPr>
      </w:pPr>
    </w:p>
    <w:p w14:paraId="410145A7" w14:textId="77777777" w:rsidR="007D2F16" w:rsidRDefault="007D2F16">
      <w:pPr>
        <w:pStyle w:val="Textoindependiente2"/>
        <w:rPr>
          <w:rFonts w:cs="Arial"/>
          <w:szCs w:val="24"/>
        </w:rPr>
      </w:pPr>
    </w:p>
    <w:p w14:paraId="68D9FEFC" w14:textId="77777777" w:rsidR="007D2F16" w:rsidRDefault="007D2F16">
      <w:pPr>
        <w:pStyle w:val="Textoindependiente2"/>
        <w:rPr>
          <w:rFonts w:cs="Arial"/>
          <w:szCs w:val="24"/>
        </w:rPr>
      </w:pPr>
    </w:p>
    <w:p w14:paraId="0E17E69C" w14:textId="77777777" w:rsidR="007D2F16" w:rsidRDefault="007D2F16">
      <w:pPr>
        <w:pStyle w:val="Textoindependiente2"/>
        <w:rPr>
          <w:rFonts w:cs="Arial"/>
          <w:szCs w:val="24"/>
        </w:rPr>
      </w:pPr>
    </w:p>
    <w:p w14:paraId="45F6B913" w14:textId="77777777" w:rsidR="007D2F16" w:rsidRDefault="007D2F16">
      <w:pPr>
        <w:pStyle w:val="Textoindependiente2"/>
        <w:rPr>
          <w:rFonts w:cs="Arial"/>
          <w:szCs w:val="24"/>
        </w:rPr>
      </w:pPr>
    </w:p>
    <w:p w14:paraId="2526F5E8" w14:textId="77777777" w:rsidR="007D2F16" w:rsidRDefault="007D2F16">
      <w:pPr>
        <w:pStyle w:val="Textoindependiente2"/>
        <w:rPr>
          <w:rFonts w:cs="Arial"/>
          <w:szCs w:val="24"/>
        </w:rPr>
      </w:pPr>
    </w:p>
    <w:p w14:paraId="62B47D40" w14:textId="77777777" w:rsidR="007D2F16" w:rsidRDefault="007D2F16">
      <w:pPr>
        <w:pStyle w:val="Textoindependiente2"/>
        <w:rPr>
          <w:rFonts w:cs="Arial"/>
          <w:szCs w:val="24"/>
        </w:rPr>
      </w:pPr>
    </w:p>
    <w:p w14:paraId="4135F464" w14:textId="77777777" w:rsidR="007D2F16" w:rsidRDefault="007D2F16">
      <w:pPr>
        <w:pStyle w:val="Textoindependiente2"/>
        <w:rPr>
          <w:rFonts w:cs="Arial"/>
          <w:szCs w:val="24"/>
        </w:rPr>
      </w:pPr>
    </w:p>
    <w:p w14:paraId="4DED68A2" w14:textId="77777777" w:rsidR="007D2F16" w:rsidRDefault="007D2F16">
      <w:pPr>
        <w:pStyle w:val="Textoindependiente2"/>
        <w:rPr>
          <w:rFonts w:cs="Arial"/>
          <w:szCs w:val="24"/>
        </w:rPr>
      </w:pPr>
    </w:p>
    <w:p w14:paraId="27D3F38F" w14:textId="77777777" w:rsidR="007D2F16" w:rsidRDefault="007D2F16">
      <w:pPr>
        <w:pStyle w:val="Textoindependiente2"/>
        <w:rPr>
          <w:rFonts w:cs="Arial"/>
          <w:szCs w:val="24"/>
        </w:rPr>
      </w:pPr>
    </w:p>
    <w:p w14:paraId="09336D39" w14:textId="77777777" w:rsidR="007D2F16" w:rsidRDefault="007D2F16">
      <w:pPr>
        <w:pStyle w:val="Textoindependiente2"/>
        <w:rPr>
          <w:rFonts w:cs="Arial"/>
          <w:szCs w:val="24"/>
        </w:rPr>
        <w:sectPr w:rsidR="007D2F16">
          <w:footerReference w:type="even" r:id="rId9"/>
          <w:footerReference w:type="default" r:id="rId10"/>
          <w:pgSz w:w="11906" w:h="16838"/>
          <w:pgMar w:top="1417" w:right="1701" w:bottom="1417" w:left="1701" w:header="708" w:footer="708" w:gutter="0"/>
          <w:cols w:space="708"/>
          <w:docGrid w:linePitch="360"/>
        </w:sectPr>
      </w:pPr>
    </w:p>
    <w:p w14:paraId="14F1E6FF" w14:textId="77777777" w:rsidR="007D2F16" w:rsidRDefault="007D2F16">
      <w:pPr>
        <w:pStyle w:val="Textoindependiente2"/>
        <w:rPr>
          <w:rFonts w:cs="Arial"/>
          <w:szCs w:val="24"/>
        </w:rPr>
      </w:pPr>
    </w:p>
    <w:p w14:paraId="10AB9D49" w14:textId="17FD918C" w:rsidR="00B16F11" w:rsidRDefault="00B16F11">
      <w:pPr>
        <w:rPr>
          <w:rFonts w:ascii="Arial" w:hAnsi="Arial" w:cs="Arial"/>
          <w:b/>
          <w:lang w:val="es-ES_tradnl"/>
        </w:rPr>
      </w:pPr>
    </w:p>
    <w:p w14:paraId="5800795D" w14:textId="36728122" w:rsidR="00B16F11" w:rsidRDefault="00B16F11">
      <w:pPr>
        <w:pStyle w:val="Textoindependiente2"/>
        <w:rPr>
          <w:rFonts w:cs="Arial"/>
          <w:szCs w:val="24"/>
        </w:rPr>
      </w:pPr>
      <w:r>
        <w:rPr>
          <w:rFonts w:cs="Arial"/>
          <w:szCs w:val="24"/>
        </w:rPr>
        <w:t>PROCEDIMIENTO A DE REGULARIZACIÓN DE LAS OCUPACIONES IRREGULARES</w:t>
      </w:r>
    </w:p>
    <w:p w14:paraId="77C9FF8B" w14:textId="1B5D651E" w:rsidR="00B16F11" w:rsidRPr="00FF5CA0" w:rsidRDefault="00B16F11">
      <w:pPr>
        <w:pStyle w:val="Textoindependiente2"/>
        <w:rPr>
          <w:rFonts w:cs="Arial"/>
          <w:szCs w:val="24"/>
        </w:rPr>
      </w:pPr>
    </w:p>
    <w:p w14:paraId="5F8697C1" w14:textId="3DFD22B7" w:rsidR="00477735" w:rsidRPr="003923CD" w:rsidRDefault="00477735" w:rsidP="003923CD">
      <w:pPr>
        <w:autoSpaceDE w:val="0"/>
        <w:autoSpaceDN w:val="0"/>
        <w:adjustRightInd w:val="0"/>
        <w:spacing w:after="120"/>
        <w:jc w:val="both"/>
        <w:rPr>
          <w:rFonts w:cs="Arial"/>
          <w:iCs/>
        </w:rPr>
      </w:pPr>
      <w:r w:rsidRPr="003923CD">
        <w:rPr>
          <w:rFonts w:ascii="Arial" w:hAnsi="Arial" w:cs="Arial"/>
          <w:iCs/>
        </w:rPr>
        <w:t xml:space="preserve">Los OPERADORES AUTORIZADOS que realicen despliegues irregulares de red en las infraestructuras de obra civil sujetas a la oferta MARCo, prescindiendo de los trámites y procedimientos recogidos en el capítulo relativo al Procedimiento de Gestión de la Oferta, así como de lo previsto en el capítulo sobre Precios y Condiciones de Facturación, y que no regularicen su situación de conformidad con los procedimientos regulados por la CNMC, estarán incumpliendo sus obligaciones esenciales pactadas en el contrato MARCo firmado con Telefónica (cláusula Vigésima). </w:t>
      </w:r>
    </w:p>
    <w:p w14:paraId="3697F01C" w14:textId="6903AAE3" w:rsidR="00477735" w:rsidRPr="00FF5CA0" w:rsidRDefault="00477735" w:rsidP="003923CD">
      <w:pPr>
        <w:autoSpaceDE w:val="0"/>
        <w:autoSpaceDN w:val="0"/>
        <w:adjustRightInd w:val="0"/>
        <w:spacing w:before="120" w:after="120"/>
        <w:jc w:val="both"/>
        <w:rPr>
          <w:rFonts w:cs="Arial"/>
          <w:iCs/>
        </w:rPr>
      </w:pPr>
      <w:r w:rsidRPr="003923CD">
        <w:rPr>
          <w:rFonts w:ascii="Arial" w:hAnsi="Arial" w:cs="Arial"/>
          <w:iCs/>
        </w:rPr>
        <w:t>Ello sin perjuicio de otros posibles incumplimientos que puedan realizar los OPERADORES AUTORIZADOS como consecuencia de sus despliegues irregulares en las infraestructuras de obra civil sujetas a la oferta MARCo, según lo dispuesto en la regulación sectorial y por la CNMC mediante Resolución.</w:t>
      </w:r>
    </w:p>
    <w:p w14:paraId="3AB6157B" w14:textId="276A8BC7" w:rsidR="00DD07BB" w:rsidRPr="003923CD" w:rsidRDefault="00477735" w:rsidP="003923CD">
      <w:pPr>
        <w:autoSpaceDE w:val="0"/>
        <w:autoSpaceDN w:val="0"/>
        <w:adjustRightInd w:val="0"/>
        <w:spacing w:before="120" w:after="240"/>
        <w:jc w:val="both"/>
        <w:rPr>
          <w:rFonts w:cs="Arial"/>
          <w:iCs/>
        </w:rPr>
      </w:pPr>
      <w:r w:rsidRPr="003923CD">
        <w:rPr>
          <w:rFonts w:ascii="Arial" w:hAnsi="Arial" w:cs="Arial"/>
          <w:iCs/>
        </w:rPr>
        <w:t>En la siguiente tabla se resume el procedimiento por el que los OPERADORES AUTORIZADOS podrán regularizar dichos despliegues de red irregulares o desinstalar sus tendidos. No obstante, tanto los OPERADORES AUTORIZADOS como Telefónica deberán cumplir con el resto de las obligaciones establecidas por la CNMC en la Resolución de 30 de noviembre de 2021, en relación con la aplicación de este procedimiento.</w:t>
      </w:r>
    </w:p>
    <w:tbl>
      <w:tblPr>
        <w:tblStyle w:val="Tablaconcuadrcula"/>
        <w:tblW w:w="14317" w:type="dxa"/>
        <w:tblInd w:w="-5" w:type="dxa"/>
        <w:tblLook w:val="04A0" w:firstRow="1" w:lastRow="0" w:firstColumn="1" w:lastColumn="0" w:noHBand="0" w:noVBand="1"/>
      </w:tblPr>
      <w:tblGrid>
        <w:gridCol w:w="7656"/>
        <w:gridCol w:w="6661"/>
      </w:tblGrid>
      <w:tr w:rsidR="002C116D" w:rsidRPr="002C116D" w14:paraId="12443E7C" w14:textId="77777777" w:rsidTr="00501081">
        <w:tc>
          <w:tcPr>
            <w:tcW w:w="14317" w:type="dxa"/>
            <w:gridSpan w:val="2"/>
            <w:tcBorders>
              <w:bottom w:val="single" w:sz="4" w:space="0" w:color="auto"/>
            </w:tcBorders>
            <w:shd w:val="clear" w:color="auto" w:fill="99CCFF"/>
          </w:tcPr>
          <w:p w14:paraId="463C4C34" w14:textId="77777777" w:rsidR="002C116D" w:rsidRPr="002C116D" w:rsidRDefault="002C116D" w:rsidP="002C116D">
            <w:pPr>
              <w:keepNext/>
              <w:spacing w:before="60" w:after="60"/>
              <w:jc w:val="center"/>
              <w:rPr>
                <w:rFonts w:ascii="Arial" w:hAnsi="Arial" w:cs="Arial"/>
                <w:b/>
                <w:lang w:val="es-ES_tradnl"/>
              </w:rPr>
            </w:pPr>
            <w:r w:rsidRPr="002C116D">
              <w:rPr>
                <w:rFonts w:ascii="Arial" w:hAnsi="Arial" w:cs="Arial"/>
                <w:b/>
                <w:lang w:val="es-ES_tradnl"/>
              </w:rPr>
              <w:t>PROCEDIMIENTO A: Operadores identificados con contrato MARCo</w:t>
            </w:r>
          </w:p>
        </w:tc>
      </w:tr>
      <w:tr w:rsidR="002C116D" w:rsidRPr="002C116D" w14:paraId="3F44312B" w14:textId="77777777" w:rsidTr="00501081">
        <w:trPr>
          <w:trHeight w:val="50"/>
        </w:trPr>
        <w:tc>
          <w:tcPr>
            <w:tcW w:w="7656" w:type="dxa"/>
            <w:shd w:val="clear" w:color="auto" w:fill="CCFFFF"/>
          </w:tcPr>
          <w:p w14:paraId="5F1DDB7C" w14:textId="77777777" w:rsidR="002C116D" w:rsidRPr="002C116D" w:rsidRDefault="002C116D" w:rsidP="002C116D">
            <w:pPr>
              <w:spacing w:before="60" w:after="60"/>
              <w:jc w:val="center"/>
              <w:rPr>
                <w:rFonts w:ascii="Arial" w:hAnsi="Arial" w:cs="Arial"/>
                <w:b/>
                <w:sz w:val="20"/>
                <w:szCs w:val="20"/>
                <w:lang w:val="es-ES_tradnl"/>
              </w:rPr>
            </w:pPr>
            <w:r w:rsidRPr="002C116D">
              <w:rPr>
                <w:rFonts w:ascii="Arial" w:hAnsi="Arial" w:cs="Arial"/>
                <w:b/>
                <w:sz w:val="20"/>
                <w:szCs w:val="20"/>
                <w:lang w:val="es-ES_tradnl"/>
              </w:rPr>
              <w:t>TELEFÓNICA</w:t>
            </w:r>
          </w:p>
        </w:tc>
        <w:tc>
          <w:tcPr>
            <w:tcW w:w="6661" w:type="dxa"/>
            <w:shd w:val="clear" w:color="auto" w:fill="CCFFFF"/>
          </w:tcPr>
          <w:p w14:paraId="177A05FB" w14:textId="77777777" w:rsidR="002C116D" w:rsidRPr="002C116D" w:rsidRDefault="002C116D" w:rsidP="002C116D">
            <w:pPr>
              <w:spacing w:before="60" w:after="60"/>
              <w:jc w:val="center"/>
              <w:rPr>
                <w:rFonts w:ascii="Arial" w:hAnsi="Arial" w:cs="Arial"/>
                <w:b/>
                <w:sz w:val="20"/>
                <w:szCs w:val="20"/>
                <w:lang w:val="es-ES_tradnl"/>
              </w:rPr>
            </w:pPr>
            <w:r w:rsidRPr="002C116D">
              <w:rPr>
                <w:rFonts w:ascii="Arial" w:hAnsi="Arial" w:cs="Arial"/>
                <w:b/>
                <w:sz w:val="20"/>
                <w:szCs w:val="20"/>
                <w:lang w:val="es-ES_tradnl"/>
              </w:rPr>
              <w:t>OPERADORES</w:t>
            </w:r>
          </w:p>
        </w:tc>
      </w:tr>
      <w:tr w:rsidR="002C116D" w:rsidRPr="002C116D" w14:paraId="000653CC" w14:textId="77777777" w:rsidTr="00501081">
        <w:tc>
          <w:tcPr>
            <w:tcW w:w="7656" w:type="dxa"/>
          </w:tcPr>
          <w:p w14:paraId="361F274C" w14:textId="77777777" w:rsidR="002C116D" w:rsidRPr="002C116D" w:rsidRDefault="002C116D" w:rsidP="002C116D">
            <w:pPr>
              <w:numPr>
                <w:ilvl w:val="0"/>
                <w:numId w:val="33"/>
              </w:numPr>
              <w:spacing w:before="60" w:after="60"/>
              <w:ind w:left="312" w:hanging="312"/>
              <w:jc w:val="both"/>
              <w:rPr>
                <w:rFonts w:ascii="Arial" w:hAnsi="Arial" w:cs="Arial"/>
                <w:sz w:val="20"/>
                <w:szCs w:val="20"/>
                <w:lang w:val="es-ES_tradnl"/>
              </w:rPr>
            </w:pPr>
            <w:r w:rsidRPr="002C116D">
              <w:rPr>
                <w:rFonts w:ascii="Arial" w:hAnsi="Arial" w:cs="Arial"/>
                <w:sz w:val="20"/>
                <w:szCs w:val="20"/>
                <w:lang w:val="es-ES_tradnl"/>
              </w:rPr>
              <w:t>Comunica a los operadores incidencias en NEON por ocupaciones irregulares, dándoles 15 días de plazo para contestar.</w:t>
            </w:r>
          </w:p>
          <w:p w14:paraId="64335EEE" w14:textId="77777777" w:rsidR="002C116D" w:rsidRPr="002C116D" w:rsidRDefault="002C116D" w:rsidP="002C116D">
            <w:pPr>
              <w:spacing w:before="60" w:after="60"/>
              <w:ind w:left="312"/>
              <w:jc w:val="both"/>
              <w:rPr>
                <w:rFonts w:ascii="Arial" w:hAnsi="Arial" w:cs="Arial"/>
                <w:sz w:val="20"/>
                <w:szCs w:val="20"/>
                <w:lang w:val="es-ES_tradnl"/>
              </w:rPr>
            </w:pPr>
          </w:p>
        </w:tc>
        <w:tc>
          <w:tcPr>
            <w:tcW w:w="6661" w:type="dxa"/>
          </w:tcPr>
          <w:p w14:paraId="21CDC5E0" w14:textId="77777777" w:rsidR="002C116D" w:rsidRPr="002C116D" w:rsidRDefault="002C116D" w:rsidP="002C116D">
            <w:pPr>
              <w:numPr>
                <w:ilvl w:val="0"/>
                <w:numId w:val="34"/>
              </w:numPr>
              <w:spacing w:before="60" w:after="60"/>
              <w:ind w:left="317" w:hanging="283"/>
              <w:jc w:val="both"/>
              <w:rPr>
                <w:rFonts w:ascii="Arial" w:hAnsi="Arial" w:cs="Arial"/>
                <w:sz w:val="20"/>
                <w:szCs w:val="20"/>
                <w:lang w:val="es-ES_tradnl"/>
              </w:rPr>
            </w:pPr>
            <w:r w:rsidRPr="002C116D">
              <w:rPr>
                <w:rFonts w:ascii="Arial" w:hAnsi="Arial" w:cs="Arial"/>
                <w:sz w:val="20"/>
                <w:szCs w:val="20"/>
                <w:lang w:val="es-ES_tradnl"/>
              </w:rPr>
              <w:t>Recibirán una comunicación de la incidencia en el correo electrónico sobre la ocupación irregular de las infraestructuras MARCo de Telefónica y dispondrán de 15 días para contestar. Posibles situaciones:</w:t>
            </w:r>
          </w:p>
          <w:p w14:paraId="6E2CEE0D" w14:textId="77777777" w:rsidR="002C116D" w:rsidRPr="002C116D" w:rsidRDefault="002C116D" w:rsidP="002C116D">
            <w:pPr>
              <w:numPr>
                <w:ilvl w:val="1"/>
                <w:numId w:val="35"/>
              </w:numPr>
              <w:autoSpaceDE w:val="0"/>
              <w:autoSpaceDN w:val="0"/>
              <w:adjustRightInd w:val="0"/>
              <w:spacing w:before="60" w:after="60"/>
              <w:ind w:left="742" w:hanging="425"/>
              <w:jc w:val="both"/>
              <w:rPr>
                <w:rFonts w:ascii="Arial" w:hAnsi="Arial" w:cs="Arial"/>
                <w:sz w:val="20"/>
                <w:szCs w:val="20"/>
                <w:lang w:val="es-ES_tradnl"/>
              </w:rPr>
            </w:pPr>
            <w:r w:rsidRPr="002C116D">
              <w:rPr>
                <w:rFonts w:ascii="Arial" w:hAnsi="Arial" w:cs="Arial"/>
                <w:sz w:val="20"/>
                <w:szCs w:val="20"/>
                <w:lang w:val="es-ES_tradnl"/>
              </w:rPr>
              <w:t>Muestra su disconformidad alegando que no se encuentra en situación irregular y lo acredita (posible conflicto).</w:t>
            </w:r>
          </w:p>
          <w:p w14:paraId="4CB55418" w14:textId="77777777" w:rsidR="002C116D" w:rsidRPr="002C116D" w:rsidRDefault="002C116D" w:rsidP="002C116D">
            <w:pPr>
              <w:numPr>
                <w:ilvl w:val="1"/>
                <w:numId w:val="35"/>
              </w:numPr>
              <w:autoSpaceDE w:val="0"/>
              <w:autoSpaceDN w:val="0"/>
              <w:adjustRightInd w:val="0"/>
              <w:spacing w:before="60" w:after="60"/>
              <w:ind w:left="742" w:hanging="425"/>
              <w:jc w:val="both"/>
              <w:rPr>
                <w:rFonts w:ascii="Arial" w:hAnsi="Arial" w:cs="Arial"/>
                <w:sz w:val="20"/>
                <w:szCs w:val="20"/>
                <w:lang w:val="es-ES_tradnl"/>
              </w:rPr>
            </w:pPr>
            <w:r w:rsidRPr="002C116D">
              <w:rPr>
                <w:rFonts w:ascii="Arial" w:hAnsi="Arial" w:cs="Arial"/>
                <w:b/>
                <w:sz w:val="20"/>
                <w:szCs w:val="20"/>
                <w:lang w:val="es-ES_tradnl"/>
              </w:rPr>
              <w:t>Muestra su disconformidad alegando que no se encuentra en situación irregular, pero no aporta prueba alguna que lo demuestre.</w:t>
            </w:r>
          </w:p>
          <w:p w14:paraId="636801CC" w14:textId="77777777" w:rsidR="002C116D" w:rsidRPr="002C116D" w:rsidRDefault="002C116D" w:rsidP="002C116D">
            <w:pPr>
              <w:numPr>
                <w:ilvl w:val="1"/>
                <w:numId w:val="35"/>
              </w:numPr>
              <w:autoSpaceDE w:val="0"/>
              <w:autoSpaceDN w:val="0"/>
              <w:adjustRightInd w:val="0"/>
              <w:spacing w:before="60" w:after="60"/>
              <w:ind w:left="742" w:hanging="425"/>
              <w:jc w:val="both"/>
              <w:rPr>
                <w:rFonts w:cs="Arial"/>
                <w:b/>
                <w:sz w:val="20"/>
                <w:szCs w:val="20"/>
                <w:lang w:val="es-ES_tradnl"/>
              </w:rPr>
            </w:pPr>
            <w:r w:rsidRPr="002C116D">
              <w:rPr>
                <w:rFonts w:ascii="Arial" w:hAnsi="Arial" w:cs="Arial"/>
                <w:b/>
                <w:sz w:val="20"/>
                <w:szCs w:val="20"/>
                <w:lang w:val="es-ES_tradnl"/>
              </w:rPr>
              <w:t xml:space="preserve">Confirma la irregularidad de sus tendidos y acepta regularizarlos, </w:t>
            </w:r>
          </w:p>
          <w:p w14:paraId="2819CA39" w14:textId="77777777" w:rsidR="002C116D" w:rsidRPr="002C116D" w:rsidRDefault="002C116D" w:rsidP="002C116D">
            <w:pPr>
              <w:numPr>
                <w:ilvl w:val="1"/>
                <w:numId w:val="35"/>
              </w:numPr>
              <w:autoSpaceDE w:val="0"/>
              <w:autoSpaceDN w:val="0"/>
              <w:adjustRightInd w:val="0"/>
              <w:spacing w:before="60" w:after="60"/>
              <w:ind w:left="742" w:hanging="425"/>
              <w:jc w:val="both"/>
              <w:rPr>
                <w:rFonts w:cs="Arial"/>
                <w:sz w:val="20"/>
                <w:szCs w:val="20"/>
                <w:lang w:val="es-ES_tradnl"/>
              </w:rPr>
            </w:pPr>
            <w:r w:rsidRPr="002C116D">
              <w:rPr>
                <w:rFonts w:ascii="Arial" w:hAnsi="Arial" w:cs="Arial"/>
                <w:b/>
                <w:sz w:val="20"/>
                <w:szCs w:val="20"/>
                <w:lang w:val="es-ES_tradnl"/>
              </w:rPr>
              <w:t>Confirma la irregularidad de sus tendidos y acepta desinstalarlos</w:t>
            </w:r>
            <w:r w:rsidRPr="002C116D">
              <w:rPr>
                <w:rFonts w:ascii="Arial" w:hAnsi="Arial" w:cs="Arial"/>
                <w:sz w:val="20"/>
                <w:szCs w:val="20"/>
                <w:lang w:val="es-ES_tradnl"/>
              </w:rPr>
              <w:t>.</w:t>
            </w:r>
          </w:p>
          <w:p w14:paraId="006FC1C1" w14:textId="77777777" w:rsidR="002C116D" w:rsidRPr="002C116D" w:rsidRDefault="002C116D" w:rsidP="002C116D">
            <w:pPr>
              <w:numPr>
                <w:ilvl w:val="1"/>
                <w:numId w:val="35"/>
              </w:numPr>
              <w:autoSpaceDE w:val="0"/>
              <w:autoSpaceDN w:val="0"/>
              <w:adjustRightInd w:val="0"/>
              <w:spacing w:before="60" w:after="60"/>
              <w:ind w:left="742" w:hanging="425"/>
              <w:jc w:val="both"/>
              <w:rPr>
                <w:rFonts w:cs="Arial"/>
                <w:sz w:val="20"/>
                <w:szCs w:val="20"/>
                <w:lang w:val="es-ES_tradnl"/>
              </w:rPr>
            </w:pPr>
            <w:r w:rsidRPr="002C116D">
              <w:rPr>
                <w:rFonts w:ascii="Arial" w:hAnsi="Arial" w:cs="Arial"/>
                <w:sz w:val="20"/>
                <w:szCs w:val="20"/>
                <w:lang w:val="es-ES_tradnl"/>
              </w:rPr>
              <w:t>No son de su propiedad (posible procedimiento C).</w:t>
            </w:r>
          </w:p>
          <w:p w14:paraId="5A68C2CF" w14:textId="77777777" w:rsidR="002C116D" w:rsidRPr="002C116D" w:rsidRDefault="002C116D" w:rsidP="002C116D">
            <w:pPr>
              <w:numPr>
                <w:ilvl w:val="1"/>
                <w:numId w:val="35"/>
              </w:numPr>
              <w:autoSpaceDE w:val="0"/>
              <w:autoSpaceDN w:val="0"/>
              <w:adjustRightInd w:val="0"/>
              <w:spacing w:before="60" w:after="60"/>
              <w:ind w:left="742" w:hanging="425"/>
              <w:jc w:val="both"/>
              <w:rPr>
                <w:rFonts w:ascii="Arial" w:hAnsi="Arial" w:cs="Arial"/>
                <w:sz w:val="20"/>
                <w:szCs w:val="20"/>
                <w:lang w:val="es-ES_tradnl"/>
              </w:rPr>
            </w:pPr>
            <w:r w:rsidRPr="002C116D">
              <w:rPr>
                <w:rFonts w:ascii="Arial" w:hAnsi="Arial" w:cs="Arial"/>
                <w:b/>
                <w:sz w:val="20"/>
                <w:szCs w:val="20"/>
                <w:lang w:val="es-ES_tradnl"/>
              </w:rPr>
              <w:t>No responde</w:t>
            </w:r>
            <w:r w:rsidRPr="002C116D">
              <w:rPr>
                <w:rFonts w:ascii="Arial" w:hAnsi="Arial" w:cs="Arial"/>
                <w:sz w:val="20"/>
                <w:szCs w:val="20"/>
                <w:lang w:val="es-ES_tradnl"/>
              </w:rPr>
              <w:t xml:space="preserve">. </w:t>
            </w:r>
          </w:p>
        </w:tc>
      </w:tr>
      <w:tr w:rsidR="002C116D" w:rsidRPr="002C116D" w14:paraId="473709D3" w14:textId="77777777" w:rsidTr="00501081">
        <w:tc>
          <w:tcPr>
            <w:tcW w:w="7656" w:type="dxa"/>
          </w:tcPr>
          <w:p w14:paraId="0DC97AD3" w14:textId="77777777" w:rsidR="002C116D" w:rsidRPr="002C116D" w:rsidRDefault="002C116D" w:rsidP="002C116D">
            <w:pPr>
              <w:numPr>
                <w:ilvl w:val="0"/>
                <w:numId w:val="33"/>
              </w:numPr>
              <w:spacing w:before="60" w:after="60"/>
              <w:ind w:left="313" w:hanging="313"/>
              <w:jc w:val="both"/>
              <w:rPr>
                <w:rFonts w:ascii="Arial" w:hAnsi="Arial" w:cs="Arial"/>
                <w:sz w:val="20"/>
                <w:szCs w:val="20"/>
                <w:lang w:val="es-ES_tradnl"/>
              </w:rPr>
            </w:pPr>
            <w:r w:rsidRPr="002C116D">
              <w:rPr>
                <w:rFonts w:ascii="Arial" w:hAnsi="Arial" w:cs="Arial"/>
                <w:sz w:val="20"/>
                <w:szCs w:val="20"/>
                <w:lang w:val="es-ES_tradnl"/>
              </w:rPr>
              <w:lastRenderedPageBreak/>
              <w:t>Enviar burofaxes a los operadores que se encuentren en las situaciones (</w:t>
            </w:r>
            <w:proofErr w:type="spellStart"/>
            <w:r w:rsidRPr="002C116D">
              <w:rPr>
                <w:rFonts w:ascii="Arial" w:hAnsi="Arial" w:cs="Arial"/>
                <w:sz w:val="20"/>
                <w:szCs w:val="20"/>
                <w:lang w:val="es-ES_tradnl"/>
              </w:rPr>
              <w:t>ii</w:t>
            </w:r>
            <w:proofErr w:type="spellEnd"/>
            <w:r w:rsidRPr="002C116D">
              <w:rPr>
                <w:rFonts w:ascii="Arial" w:hAnsi="Arial" w:cs="Arial"/>
                <w:sz w:val="20"/>
                <w:szCs w:val="20"/>
                <w:lang w:val="es-ES_tradnl"/>
              </w:rPr>
              <w:t>), (</w:t>
            </w:r>
            <w:proofErr w:type="spellStart"/>
            <w:r w:rsidRPr="002C116D">
              <w:rPr>
                <w:rFonts w:ascii="Arial" w:hAnsi="Arial" w:cs="Arial"/>
                <w:sz w:val="20"/>
                <w:szCs w:val="20"/>
                <w:lang w:val="es-ES_tradnl"/>
              </w:rPr>
              <w:t>iv</w:t>
            </w:r>
            <w:proofErr w:type="spellEnd"/>
            <w:r w:rsidRPr="002C116D">
              <w:rPr>
                <w:rFonts w:ascii="Arial" w:hAnsi="Arial" w:cs="Arial"/>
                <w:sz w:val="20"/>
                <w:szCs w:val="20"/>
                <w:lang w:val="es-ES_tradnl"/>
              </w:rPr>
              <w:t>) y (vi), comunicándoles de que disponen de 2 meses para desinstalar sus tendidos y para comunicar a la CNMC y a Telefónica todas las infraestructuras ocupadas, de su localización y de la fecha de su ocupación.</w:t>
            </w:r>
          </w:p>
          <w:p w14:paraId="0579AF99" w14:textId="77777777" w:rsidR="002C116D" w:rsidRPr="002C116D" w:rsidRDefault="002C116D" w:rsidP="002C116D">
            <w:pPr>
              <w:spacing w:before="60" w:after="60"/>
              <w:ind w:left="313"/>
              <w:jc w:val="both"/>
              <w:rPr>
                <w:rFonts w:ascii="Arial" w:hAnsi="Arial" w:cs="Arial"/>
                <w:sz w:val="20"/>
                <w:szCs w:val="20"/>
                <w:lang w:val="es-ES_tradnl"/>
              </w:rPr>
            </w:pPr>
            <w:r w:rsidRPr="002C116D">
              <w:rPr>
                <w:rFonts w:ascii="Arial" w:hAnsi="Arial" w:cs="Arial"/>
                <w:sz w:val="20"/>
                <w:szCs w:val="20"/>
                <w:lang w:val="es-ES_tradnl"/>
              </w:rPr>
              <w:t>Los operadores en situaciones (</w:t>
            </w:r>
            <w:proofErr w:type="spellStart"/>
            <w:r w:rsidRPr="002C116D">
              <w:rPr>
                <w:rFonts w:ascii="Arial" w:hAnsi="Arial" w:cs="Arial"/>
                <w:sz w:val="20"/>
                <w:szCs w:val="20"/>
                <w:lang w:val="es-ES_tradnl"/>
              </w:rPr>
              <w:t>ii</w:t>
            </w:r>
            <w:proofErr w:type="spellEnd"/>
            <w:r w:rsidRPr="002C116D">
              <w:rPr>
                <w:rFonts w:ascii="Arial" w:hAnsi="Arial" w:cs="Arial"/>
                <w:sz w:val="20"/>
                <w:szCs w:val="20"/>
                <w:lang w:val="es-ES_tradnl"/>
              </w:rPr>
              <w:t xml:space="preserve"> y vi) que, tras recibir el burofax, en el plazo máximo de 10 días comunicarán a Telefónica el reconocimiento de la irregularidad de sus tendidos y aceptarán regularizar, serán tratados como operadores en situación (</w:t>
            </w:r>
            <w:proofErr w:type="spellStart"/>
            <w:r w:rsidRPr="002C116D">
              <w:rPr>
                <w:rFonts w:ascii="Arial" w:hAnsi="Arial" w:cs="Arial"/>
                <w:sz w:val="20"/>
                <w:szCs w:val="20"/>
                <w:lang w:val="es-ES_tradnl"/>
              </w:rPr>
              <w:t>iii</w:t>
            </w:r>
            <w:proofErr w:type="spellEnd"/>
            <w:r w:rsidRPr="002C116D">
              <w:rPr>
                <w:rFonts w:ascii="Arial" w:hAnsi="Arial" w:cs="Arial"/>
                <w:sz w:val="20"/>
                <w:szCs w:val="20"/>
                <w:lang w:val="es-ES_tradnl"/>
              </w:rPr>
              <w:t xml:space="preserve">). </w:t>
            </w:r>
          </w:p>
        </w:tc>
        <w:tc>
          <w:tcPr>
            <w:tcW w:w="6661" w:type="dxa"/>
          </w:tcPr>
          <w:p w14:paraId="28523188" w14:textId="77777777" w:rsidR="002C116D" w:rsidRPr="002C116D" w:rsidRDefault="002C116D" w:rsidP="002C116D">
            <w:pPr>
              <w:numPr>
                <w:ilvl w:val="0"/>
                <w:numId w:val="34"/>
              </w:numPr>
              <w:spacing w:before="60" w:after="60"/>
              <w:ind w:left="318" w:hanging="284"/>
              <w:jc w:val="both"/>
              <w:rPr>
                <w:rFonts w:ascii="Arial" w:hAnsi="Arial" w:cs="Arial"/>
                <w:sz w:val="20"/>
                <w:szCs w:val="20"/>
                <w:lang w:val="es-ES_tradnl"/>
              </w:rPr>
            </w:pPr>
            <w:r w:rsidRPr="002C116D">
              <w:rPr>
                <w:rFonts w:ascii="Arial" w:hAnsi="Arial" w:cs="Arial"/>
                <w:sz w:val="20"/>
                <w:szCs w:val="20"/>
                <w:lang w:val="es-ES_tradnl"/>
              </w:rPr>
              <w:t>Operadores en situación (</w:t>
            </w:r>
            <w:proofErr w:type="spellStart"/>
            <w:r w:rsidRPr="002C116D">
              <w:rPr>
                <w:rFonts w:ascii="Arial" w:hAnsi="Arial" w:cs="Arial"/>
                <w:sz w:val="20"/>
                <w:szCs w:val="20"/>
                <w:lang w:val="es-ES_tradnl"/>
              </w:rPr>
              <w:t>ii</w:t>
            </w:r>
            <w:proofErr w:type="spellEnd"/>
            <w:r w:rsidRPr="002C116D">
              <w:rPr>
                <w:rFonts w:ascii="Arial" w:hAnsi="Arial" w:cs="Arial"/>
                <w:sz w:val="20"/>
                <w:szCs w:val="20"/>
                <w:lang w:val="es-ES_tradnl"/>
              </w:rPr>
              <w:t>), (</w:t>
            </w:r>
            <w:proofErr w:type="spellStart"/>
            <w:r w:rsidRPr="002C116D">
              <w:rPr>
                <w:rFonts w:ascii="Arial" w:hAnsi="Arial" w:cs="Arial"/>
                <w:sz w:val="20"/>
                <w:szCs w:val="20"/>
                <w:lang w:val="es-ES_tradnl"/>
              </w:rPr>
              <w:t>iv</w:t>
            </w:r>
            <w:proofErr w:type="spellEnd"/>
            <w:r w:rsidRPr="002C116D">
              <w:rPr>
                <w:rFonts w:ascii="Arial" w:hAnsi="Arial" w:cs="Arial"/>
                <w:sz w:val="20"/>
                <w:szCs w:val="20"/>
                <w:lang w:val="es-ES_tradnl"/>
              </w:rPr>
              <w:t>) y (vi) recibirán un burofax de Telefónica comunicándoles de que disponen de 2 meses para desinstalar sus tendidos e informar a Telefónica y a la CNMC de todas las infraestructuras ocupadas, de su localización y de la fecha de su ocupación.</w:t>
            </w:r>
          </w:p>
          <w:p w14:paraId="7442F17C" w14:textId="77777777" w:rsidR="002C116D" w:rsidRPr="002C116D" w:rsidRDefault="002C116D" w:rsidP="002C116D">
            <w:pPr>
              <w:spacing w:before="60" w:after="60"/>
              <w:ind w:left="318"/>
              <w:jc w:val="both"/>
              <w:rPr>
                <w:rFonts w:ascii="Arial" w:hAnsi="Arial" w:cs="Arial"/>
                <w:sz w:val="20"/>
                <w:szCs w:val="20"/>
                <w:lang w:val="es-ES_tradnl"/>
              </w:rPr>
            </w:pPr>
            <w:r w:rsidRPr="002C116D">
              <w:rPr>
                <w:rFonts w:ascii="Arial" w:hAnsi="Arial" w:cs="Arial"/>
                <w:sz w:val="20"/>
                <w:szCs w:val="20"/>
                <w:lang w:val="es-ES_tradnl"/>
              </w:rPr>
              <w:t>Los operadores en situaciones (</w:t>
            </w:r>
            <w:proofErr w:type="spellStart"/>
            <w:r w:rsidRPr="002C116D">
              <w:rPr>
                <w:rFonts w:ascii="Arial" w:hAnsi="Arial" w:cs="Arial"/>
                <w:sz w:val="20"/>
                <w:szCs w:val="20"/>
                <w:lang w:val="es-ES_tradnl"/>
              </w:rPr>
              <w:t>ii</w:t>
            </w:r>
            <w:proofErr w:type="spellEnd"/>
            <w:r w:rsidRPr="002C116D">
              <w:rPr>
                <w:rFonts w:ascii="Arial" w:hAnsi="Arial" w:cs="Arial"/>
                <w:sz w:val="20"/>
                <w:szCs w:val="20"/>
                <w:lang w:val="es-ES_tradnl"/>
              </w:rPr>
              <w:t xml:space="preserve"> y vi), tras recibir el burofax, en el plazo máximo de 10 días podrán reconocer la irregularidad de sus tendidos y aceptar regularizarlos (situación </w:t>
            </w:r>
            <w:proofErr w:type="spellStart"/>
            <w:r w:rsidRPr="002C116D">
              <w:rPr>
                <w:rFonts w:ascii="Arial" w:hAnsi="Arial" w:cs="Arial"/>
                <w:sz w:val="20"/>
                <w:szCs w:val="20"/>
                <w:lang w:val="es-ES_tradnl"/>
              </w:rPr>
              <w:t>iii</w:t>
            </w:r>
            <w:proofErr w:type="spellEnd"/>
            <w:r w:rsidRPr="002C116D">
              <w:rPr>
                <w:rFonts w:ascii="Arial" w:hAnsi="Arial" w:cs="Arial"/>
                <w:sz w:val="20"/>
                <w:szCs w:val="20"/>
                <w:lang w:val="es-ES_tradnl"/>
              </w:rPr>
              <w:t>), lo que deberán comunicar a Telefónica y a esta Comisión.</w:t>
            </w:r>
          </w:p>
        </w:tc>
      </w:tr>
      <w:tr w:rsidR="002C116D" w:rsidRPr="002C116D" w14:paraId="4342F120" w14:textId="77777777" w:rsidTr="00501081">
        <w:tc>
          <w:tcPr>
            <w:tcW w:w="7656" w:type="dxa"/>
          </w:tcPr>
          <w:p w14:paraId="2580AD29" w14:textId="77777777" w:rsidR="002C116D" w:rsidRPr="002C116D" w:rsidRDefault="002C116D" w:rsidP="002C116D">
            <w:pPr>
              <w:numPr>
                <w:ilvl w:val="0"/>
                <w:numId w:val="33"/>
              </w:numPr>
              <w:spacing w:before="60" w:after="60"/>
              <w:ind w:left="313" w:hanging="313"/>
              <w:jc w:val="both"/>
              <w:rPr>
                <w:rFonts w:ascii="Arial" w:hAnsi="Arial" w:cs="Arial"/>
                <w:sz w:val="20"/>
                <w:szCs w:val="20"/>
                <w:lang w:val="es-ES_tradnl"/>
              </w:rPr>
            </w:pPr>
            <w:r w:rsidRPr="002C116D">
              <w:rPr>
                <w:rFonts w:ascii="Arial" w:hAnsi="Arial" w:cs="Arial"/>
                <w:sz w:val="20"/>
                <w:szCs w:val="20"/>
                <w:lang w:val="es-ES_tradnl"/>
              </w:rPr>
              <w:t>Informar a la CNMC en plazo de 1 mes desde que comunicó las incidencias a los operadores a través de NEON, aportando lo siguiente:</w:t>
            </w:r>
          </w:p>
          <w:p w14:paraId="547FB8A3" w14:textId="77777777" w:rsidR="002C116D" w:rsidRPr="002C116D" w:rsidRDefault="002C116D" w:rsidP="002C116D">
            <w:pPr>
              <w:numPr>
                <w:ilvl w:val="0"/>
                <w:numId w:val="32"/>
              </w:numPr>
              <w:spacing w:before="60" w:after="60"/>
              <w:ind w:left="596" w:hanging="236"/>
              <w:jc w:val="both"/>
              <w:rPr>
                <w:rFonts w:ascii="Arial" w:hAnsi="Arial" w:cs="Arial"/>
                <w:sz w:val="20"/>
                <w:szCs w:val="20"/>
                <w:lang w:val="es-ES_tradnl"/>
              </w:rPr>
            </w:pPr>
            <w:r w:rsidRPr="002C116D">
              <w:rPr>
                <w:rFonts w:ascii="Arial" w:hAnsi="Arial" w:cs="Arial"/>
                <w:sz w:val="20"/>
                <w:szCs w:val="20"/>
                <w:lang w:val="es-ES_tradnl"/>
              </w:rPr>
              <w:t xml:space="preserve">Toda la documentación relativa a las ocupaciones irregulares de que disponga sobre cada uno de los operadores, </w:t>
            </w:r>
          </w:p>
          <w:p w14:paraId="42DB2EA4" w14:textId="77777777" w:rsidR="002C116D" w:rsidRPr="002C116D" w:rsidRDefault="002C116D" w:rsidP="002C116D">
            <w:pPr>
              <w:numPr>
                <w:ilvl w:val="0"/>
                <w:numId w:val="32"/>
              </w:numPr>
              <w:spacing w:before="60" w:after="60"/>
              <w:ind w:left="596" w:hanging="236"/>
              <w:jc w:val="both"/>
              <w:rPr>
                <w:rFonts w:ascii="Arial" w:hAnsi="Arial" w:cs="Arial"/>
                <w:sz w:val="20"/>
                <w:szCs w:val="20"/>
                <w:lang w:val="es-ES_tradnl"/>
              </w:rPr>
            </w:pPr>
            <w:r w:rsidRPr="002C116D">
              <w:rPr>
                <w:rFonts w:ascii="Arial" w:hAnsi="Arial" w:cs="Arial"/>
                <w:sz w:val="20"/>
                <w:szCs w:val="20"/>
                <w:lang w:val="es-ES_tradnl"/>
              </w:rPr>
              <w:t>Copia de todas las comunicaciones mantenidas con el operador por cualquier medio (NEON, correo electrónico, burofax, etc.).</w:t>
            </w:r>
          </w:p>
          <w:p w14:paraId="6D9912DB" w14:textId="77777777" w:rsidR="002C116D" w:rsidRPr="002C116D" w:rsidRDefault="002C116D" w:rsidP="002C116D">
            <w:pPr>
              <w:spacing w:before="60" w:after="60"/>
              <w:ind w:left="318"/>
              <w:jc w:val="both"/>
              <w:rPr>
                <w:rFonts w:ascii="Arial" w:hAnsi="Arial" w:cs="Arial"/>
                <w:sz w:val="20"/>
                <w:szCs w:val="20"/>
                <w:lang w:val="es-ES_tradnl"/>
              </w:rPr>
            </w:pPr>
            <w:r w:rsidRPr="002C116D">
              <w:rPr>
                <w:rFonts w:ascii="Arial" w:hAnsi="Arial" w:cs="Arial"/>
                <w:sz w:val="20"/>
                <w:szCs w:val="20"/>
                <w:lang w:val="es-ES_tradnl"/>
              </w:rPr>
              <w:t>Telefónica también deberá aportar a la CNMC una copia del burofax que envía a los operadores en el punto 2.</w:t>
            </w:r>
          </w:p>
        </w:tc>
        <w:tc>
          <w:tcPr>
            <w:tcW w:w="6661" w:type="dxa"/>
          </w:tcPr>
          <w:p w14:paraId="24754E20" w14:textId="77777777" w:rsidR="002C116D" w:rsidRPr="002C116D" w:rsidRDefault="002C116D" w:rsidP="002C116D">
            <w:pPr>
              <w:numPr>
                <w:ilvl w:val="0"/>
                <w:numId w:val="34"/>
              </w:numPr>
              <w:spacing w:before="60" w:after="60"/>
              <w:ind w:left="317" w:hanging="284"/>
              <w:jc w:val="both"/>
              <w:rPr>
                <w:rFonts w:ascii="Arial" w:hAnsi="Arial" w:cs="Arial"/>
                <w:sz w:val="20"/>
                <w:szCs w:val="20"/>
                <w:lang w:val="es-ES_tradnl"/>
              </w:rPr>
            </w:pPr>
            <w:r w:rsidRPr="002C116D">
              <w:rPr>
                <w:rFonts w:ascii="Arial" w:hAnsi="Arial" w:cs="Arial"/>
                <w:sz w:val="20"/>
                <w:szCs w:val="20"/>
                <w:lang w:val="es-ES_tradnl"/>
              </w:rPr>
              <w:t>Si los operadores proceden voluntariamente a levantar sus tendidos de red irregulares de las infraestructuras de Telefónica ocupadas, deberán comunicar este hecho tanto a Telefónica, mediante burofax, como a la CNMC, al día siguiente.</w:t>
            </w:r>
          </w:p>
        </w:tc>
      </w:tr>
      <w:tr w:rsidR="002C116D" w:rsidRPr="002C116D" w14:paraId="0AE2E105" w14:textId="77777777" w:rsidTr="00501081">
        <w:tc>
          <w:tcPr>
            <w:tcW w:w="7656" w:type="dxa"/>
          </w:tcPr>
          <w:p w14:paraId="7A2927BF" w14:textId="77777777" w:rsidR="002C116D" w:rsidRPr="002C116D" w:rsidRDefault="002C116D" w:rsidP="002C116D">
            <w:pPr>
              <w:numPr>
                <w:ilvl w:val="0"/>
                <w:numId w:val="33"/>
              </w:numPr>
              <w:spacing w:before="60" w:after="60"/>
              <w:ind w:left="312" w:hanging="312"/>
              <w:jc w:val="both"/>
              <w:rPr>
                <w:rFonts w:ascii="Arial" w:hAnsi="Arial" w:cs="Arial"/>
                <w:sz w:val="20"/>
                <w:szCs w:val="20"/>
                <w:lang w:val="es-ES_tradnl"/>
              </w:rPr>
            </w:pPr>
            <w:r w:rsidRPr="002C116D">
              <w:rPr>
                <w:rFonts w:ascii="Arial" w:hAnsi="Arial" w:cs="Arial"/>
                <w:sz w:val="20"/>
                <w:szCs w:val="20"/>
                <w:lang w:val="es-ES_tradnl"/>
              </w:rPr>
              <w:t>Si los operadores de las situaciones (</w:t>
            </w:r>
            <w:proofErr w:type="spellStart"/>
            <w:r w:rsidRPr="002C116D">
              <w:rPr>
                <w:rFonts w:ascii="Arial" w:hAnsi="Arial" w:cs="Arial"/>
                <w:sz w:val="20"/>
                <w:szCs w:val="20"/>
                <w:lang w:val="es-ES_tradnl"/>
              </w:rPr>
              <w:t>ii</w:t>
            </w:r>
            <w:proofErr w:type="spellEnd"/>
            <w:r w:rsidRPr="002C116D">
              <w:rPr>
                <w:rFonts w:ascii="Arial" w:hAnsi="Arial" w:cs="Arial"/>
                <w:sz w:val="20"/>
                <w:szCs w:val="20"/>
                <w:lang w:val="es-ES_tradnl"/>
              </w:rPr>
              <w:t>), (</w:t>
            </w:r>
            <w:proofErr w:type="spellStart"/>
            <w:r w:rsidRPr="002C116D">
              <w:rPr>
                <w:rFonts w:ascii="Arial" w:hAnsi="Arial" w:cs="Arial"/>
                <w:sz w:val="20"/>
                <w:szCs w:val="20"/>
                <w:lang w:val="es-ES_tradnl"/>
              </w:rPr>
              <w:t>iv</w:t>
            </w:r>
            <w:proofErr w:type="spellEnd"/>
            <w:r w:rsidRPr="002C116D">
              <w:rPr>
                <w:rFonts w:ascii="Arial" w:hAnsi="Arial" w:cs="Arial"/>
                <w:sz w:val="20"/>
                <w:szCs w:val="20"/>
                <w:lang w:val="es-ES_tradnl"/>
              </w:rPr>
              <w:t>) y (vi) no levantaran sus tendidos de red irregulares en el plazo de 2 meses, Telefónica estará autorizada para desinstalar ella misma sus tendidos de red y el resto de los elementos asociados a estas que hubieran instalado irregularmente.</w:t>
            </w:r>
          </w:p>
        </w:tc>
        <w:tc>
          <w:tcPr>
            <w:tcW w:w="6661" w:type="dxa"/>
          </w:tcPr>
          <w:p w14:paraId="17E6C366" w14:textId="77777777" w:rsidR="002C116D" w:rsidRPr="002C116D" w:rsidRDefault="002C116D" w:rsidP="002C116D">
            <w:pPr>
              <w:numPr>
                <w:ilvl w:val="0"/>
                <w:numId w:val="34"/>
              </w:numPr>
              <w:spacing w:before="60" w:after="60"/>
              <w:ind w:left="318" w:hanging="284"/>
              <w:jc w:val="both"/>
              <w:rPr>
                <w:rFonts w:ascii="Arial" w:hAnsi="Arial" w:cs="Arial"/>
                <w:sz w:val="20"/>
                <w:szCs w:val="20"/>
                <w:lang w:val="es-ES_tradnl"/>
              </w:rPr>
            </w:pPr>
            <w:r w:rsidRPr="002C116D">
              <w:rPr>
                <w:rFonts w:ascii="Arial" w:hAnsi="Arial" w:cs="Arial"/>
                <w:sz w:val="20"/>
                <w:szCs w:val="20"/>
                <w:lang w:val="es-ES_tradnl"/>
              </w:rPr>
              <w:t>Si los operadores en situaciones (</w:t>
            </w:r>
            <w:proofErr w:type="spellStart"/>
            <w:r w:rsidRPr="002C116D">
              <w:rPr>
                <w:rFonts w:ascii="Arial" w:hAnsi="Arial" w:cs="Arial"/>
                <w:sz w:val="20"/>
                <w:szCs w:val="20"/>
                <w:lang w:val="es-ES_tradnl"/>
              </w:rPr>
              <w:t>ii</w:t>
            </w:r>
            <w:proofErr w:type="spellEnd"/>
            <w:r w:rsidRPr="002C116D">
              <w:rPr>
                <w:rFonts w:ascii="Arial" w:hAnsi="Arial" w:cs="Arial"/>
                <w:sz w:val="20"/>
                <w:szCs w:val="20"/>
                <w:lang w:val="es-ES_tradnl"/>
              </w:rPr>
              <w:t>), (</w:t>
            </w:r>
            <w:proofErr w:type="spellStart"/>
            <w:r w:rsidRPr="002C116D">
              <w:rPr>
                <w:rFonts w:ascii="Arial" w:hAnsi="Arial" w:cs="Arial"/>
                <w:sz w:val="20"/>
                <w:szCs w:val="20"/>
                <w:lang w:val="es-ES_tradnl"/>
              </w:rPr>
              <w:t>iv</w:t>
            </w:r>
            <w:proofErr w:type="spellEnd"/>
            <w:r w:rsidRPr="002C116D">
              <w:rPr>
                <w:rFonts w:ascii="Arial" w:hAnsi="Arial" w:cs="Arial"/>
                <w:sz w:val="20"/>
                <w:szCs w:val="20"/>
                <w:lang w:val="es-ES_tradnl"/>
              </w:rPr>
              <w:t>) y (vi) no levantaran sus tendidos de red irregulares en el plazo de 2 meses, Telefónica podrá desinstalarlos.</w:t>
            </w:r>
          </w:p>
        </w:tc>
      </w:tr>
      <w:tr w:rsidR="002C116D" w:rsidRPr="002C116D" w14:paraId="64B62725" w14:textId="77777777" w:rsidTr="00501081">
        <w:tc>
          <w:tcPr>
            <w:tcW w:w="7656" w:type="dxa"/>
          </w:tcPr>
          <w:p w14:paraId="3CDF42CD" w14:textId="77777777" w:rsidR="002C116D" w:rsidRPr="002C116D" w:rsidRDefault="002C116D" w:rsidP="002C116D">
            <w:pPr>
              <w:numPr>
                <w:ilvl w:val="0"/>
                <w:numId w:val="33"/>
              </w:numPr>
              <w:spacing w:before="60" w:after="60"/>
              <w:ind w:left="318" w:hanging="318"/>
              <w:jc w:val="both"/>
              <w:rPr>
                <w:rFonts w:ascii="Arial" w:hAnsi="Arial" w:cs="Arial"/>
                <w:sz w:val="20"/>
                <w:szCs w:val="20"/>
                <w:lang w:val="es-ES_tradnl"/>
              </w:rPr>
            </w:pPr>
            <w:r w:rsidRPr="002C116D">
              <w:rPr>
                <w:rFonts w:ascii="Arial" w:hAnsi="Arial" w:cs="Arial"/>
                <w:sz w:val="20"/>
                <w:szCs w:val="20"/>
                <w:lang w:val="es-ES_tradnl"/>
              </w:rPr>
              <w:t>Al día siguiente del levantamiento de los tendidos de red irregulares de sus infraestructuras, comunicar a la CNMC y a los operadores mediante burofax, informando de los costes que deberán pagar por ello y de la fecha y lugar donde pueden ir a recoger sus redes y equipos.</w:t>
            </w:r>
          </w:p>
          <w:p w14:paraId="5C127EF9" w14:textId="77777777" w:rsidR="002C116D" w:rsidRPr="002C116D" w:rsidRDefault="002C116D" w:rsidP="002C116D">
            <w:pPr>
              <w:spacing w:before="60" w:after="60"/>
              <w:ind w:left="318"/>
              <w:jc w:val="both"/>
              <w:rPr>
                <w:rFonts w:ascii="Arial" w:hAnsi="Arial" w:cs="Arial"/>
                <w:sz w:val="20"/>
                <w:szCs w:val="20"/>
                <w:lang w:val="es-ES_tradnl"/>
              </w:rPr>
            </w:pPr>
            <w:r w:rsidRPr="002C116D">
              <w:rPr>
                <w:rFonts w:ascii="Arial" w:hAnsi="Arial" w:cs="Arial"/>
                <w:sz w:val="20"/>
                <w:szCs w:val="20"/>
                <w:lang w:val="es-ES_tradnl"/>
              </w:rPr>
              <w:t>En la comunicación a la CNMC se deberá adjuntar el burofax enviado a los operadores.</w:t>
            </w:r>
          </w:p>
        </w:tc>
        <w:tc>
          <w:tcPr>
            <w:tcW w:w="6661" w:type="dxa"/>
          </w:tcPr>
          <w:p w14:paraId="4C9E01C1" w14:textId="77777777" w:rsidR="002C116D" w:rsidRPr="002C116D" w:rsidRDefault="002C116D" w:rsidP="002C116D">
            <w:pPr>
              <w:numPr>
                <w:ilvl w:val="0"/>
                <w:numId w:val="34"/>
              </w:numPr>
              <w:spacing w:before="60" w:after="60"/>
              <w:ind w:left="318" w:hanging="284"/>
              <w:jc w:val="both"/>
              <w:rPr>
                <w:rFonts w:ascii="Arial" w:hAnsi="Arial" w:cs="Arial"/>
                <w:sz w:val="20"/>
                <w:szCs w:val="20"/>
                <w:lang w:val="es-ES_tradnl"/>
              </w:rPr>
            </w:pPr>
            <w:r w:rsidRPr="002C116D">
              <w:rPr>
                <w:rFonts w:ascii="Arial" w:hAnsi="Arial" w:cs="Arial"/>
                <w:sz w:val="20"/>
                <w:szCs w:val="20"/>
                <w:lang w:val="es-ES_tradnl"/>
              </w:rPr>
              <w:t>Recibirán un burofax de Telefónica comunicándoles que ha procedido a levantar sus tendidos de red irregulares, los costes que deberán pagar por ello a Telefónica y la fecha y lugar donde pueden ir a recoger sus redes y equipos.</w:t>
            </w:r>
          </w:p>
        </w:tc>
      </w:tr>
      <w:tr w:rsidR="002C116D" w:rsidRPr="002C116D" w14:paraId="0350BABA" w14:textId="77777777" w:rsidTr="00501081">
        <w:tc>
          <w:tcPr>
            <w:tcW w:w="7656" w:type="dxa"/>
          </w:tcPr>
          <w:p w14:paraId="3B08B512" w14:textId="77777777" w:rsidR="002C116D" w:rsidRPr="002C116D" w:rsidRDefault="002C116D" w:rsidP="002C116D">
            <w:pPr>
              <w:numPr>
                <w:ilvl w:val="0"/>
                <w:numId w:val="33"/>
              </w:numPr>
              <w:spacing w:before="60" w:after="60"/>
              <w:ind w:left="312" w:hanging="312"/>
              <w:jc w:val="both"/>
              <w:rPr>
                <w:rFonts w:ascii="Arial" w:hAnsi="Arial" w:cs="Arial"/>
                <w:sz w:val="20"/>
                <w:szCs w:val="20"/>
                <w:lang w:val="es-ES_tradnl"/>
              </w:rPr>
            </w:pPr>
            <w:r w:rsidRPr="002C116D">
              <w:rPr>
                <w:rFonts w:ascii="Arial" w:hAnsi="Arial" w:cs="Arial"/>
                <w:sz w:val="20"/>
                <w:szCs w:val="20"/>
                <w:lang w:val="es-ES_tradnl"/>
              </w:rPr>
              <w:t>Negociar de buena fe con los operadores en situación (</w:t>
            </w:r>
            <w:proofErr w:type="spellStart"/>
            <w:r w:rsidRPr="002C116D">
              <w:rPr>
                <w:rFonts w:ascii="Arial" w:hAnsi="Arial" w:cs="Arial"/>
                <w:sz w:val="20"/>
                <w:szCs w:val="20"/>
                <w:lang w:val="es-ES_tradnl"/>
              </w:rPr>
              <w:t>iii</w:t>
            </w:r>
            <w:proofErr w:type="spellEnd"/>
            <w:r w:rsidRPr="002C116D">
              <w:rPr>
                <w:rFonts w:ascii="Arial" w:hAnsi="Arial" w:cs="Arial"/>
                <w:sz w:val="20"/>
                <w:szCs w:val="20"/>
                <w:lang w:val="es-ES_tradnl"/>
              </w:rPr>
              <w:t>) un acuerdo sobre la regularización de las ocupaciones irregulares en el plazo de 4 meses o en el que alternativamente fijen de mutuo acuerdo entre ambos operadores.</w:t>
            </w:r>
          </w:p>
          <w:p w14:paraId="58174C54" w14:textId="77777777" w:rsidR="002C116D" w:rsidRPr="002C116D" w:rsidRDefault="002C116D" w:rsidP="002C116D">
            <w:pPr>
              <w:spacing w:before="60" w:after="60"/>
              <w:ind w:left="318"/>
              <w:jc w:val="both"/>
              <w:rPr>
                <w:rFonts w:ascii="Arial" w:hAnsi="Arial" w:cs="Arial"/>
                <w:sz w:val="20"/>
                <w:szCs w:val="20"/>
                <w:lang w:val="es-ES_tradnl"/>
              </w:rPr>
            </w:pPr>
            <w:r w:rsidRPr="002C116D">
              <w:rPr>
                <w:rFonts w:ascii="Arial" w:hAnsi="Arial" w:cs="Arial"/>
                <w:sz w:val="20"/>
                <w:szCs w:val="20"/>
                <w:lang w:val="es-ES_tradnl"/>
              </w:rPr>
              <w:t>En caso de que ambos operadores llegasen a un acuerdo, remitir a la CNMC una copia de dicho acuerdo al día siguiente de su firma.</w:t>
            </w:r>
          </w:p>
          <w:p w14:paraId="10D815B9" w14:textId="77777777" w:rsidR="002C116D" w:rsidRPr="002C116D" w:rsidRDefault="002C116D" w:rsidP="002C116D">
            <w:pPr>
              <w:spacing w:before="60" w:after="60"/>
              <w:ind w:left="318"/>
              <w:jc w:val="both"/>
              <w:rPr>
                <w:rFonts w:ascii="Arial" w:hAnsi="Arial" w:cs="Arial"/>
                <w:sz w:val="20"/>
                <w:szCs w:val="20"/>
                <w:lang w:val="es-ES_tradnl"/>
              </w:rPr>
            </w:pPr>
            <w:r w:rsidRPr="002C116D">
              <w:rPr>
                <w:rFonts w:ascii="Arial" w:hAnsi="Arial" w:cs="Arial"/>
                <w:sz w:val="20"/>
                <w:szCs w:val="20"/>
                <w:lang w:val="es-ES_tradnl"/>
              </w:rPr>
              <w:t>En cambio, si sugieran discrepancias sobre alguno de los criterios a pactar durante la regularización, Telefónica podrá solicitar la intervención de la CNMC para su resolución.</w:t>
            </w:r>
          </w:p>
        </w:tc>
        <w:tc>
          <w:tcPr>
            <w:tcW w:w="6661" w:type="dxa"/>
          </w:tcPr>
          <w:p w14:paraId="4CC62090" w14:textId="77777777" w:rsidR="002C116D" w:rsidRPr="002C116D" w:rsidRDefault="002C116D" w:rsidP="002C116D">
            <w:pPr>
              <w:numPr>
                <w:ilvl w:val="0"/>
                <w:numId w:val="34"/>
              </w:numPr>
              <w:spacing w:before="60" w:after="60"/>
              <w:ind w:left="318" w:hanging="284"/>
              <w:jc w:val="both"/>
              <w:rPr>
                <w:rFonts w:ascii="Arial" w:hAnsi="Arial" w:cs="Arial"/>
                <w:sz w:val="20"/>
                <w:szCs w:val="20"/>
                <w:lang w:val="es-ES_tradnl"/>
              </w:rPr>
            </w:pPr>
            <w:r w:rsidRPr="002C116D">
              <w:rPr>
                <w:rFonts w:ascii="Arial" w:hAnsi="Arial" w:cs="Arial"/>
                <w:sz w:val="20"/>
                <w:szCs w:val="20"/>
                <w:lang w:val="es-ES_tradnl"/>
              </w:rPr>
              <w:t>Operadores en situación (</w:t>
            </w:r>
            <w:proofErr w:type="spellStart"/>
            <w:r w:rsidRPr="002C116D">
              <w:rPr>
                <w:rFonts w:ascii="Arial" w:hAnsi="Arial" w:cs="Arial"/>
                <w:sz w:val="20"/>
                <w:szCs w:val="20"/>
                <w:lang w:val="es-ES_tradnl"/>
              </w:rPr>
              <w:t>iii</w:t>
            </w:r>
            <w:proofErr w:type="spellEnd"/>
            <w:r w:rsidRPr="002C116D">
              <w:rPr>
                <w:rFonts w:ascii="Arial" w:hAnsi="Arial" w:cs="Arial"/>
                <w:sz w:val="20"/>
                <w:szCs w:val="20"/>
                <w:lang w:val="es-ES_tradnl"/>
              </w:rPr>
              <w:t xml:space="preserve">) deberán negociar de buena fe con Telefónica un acuerdo sobre la regularización de sus ocupaciones irregulares en el plazo de 4 meses o en el que alternativamente fijen de mutuo acuerdo entre ambos operadores. </w:t>
            </w:r>
          </w:p>
          <w:p w14:paraId="67DC23A7" w14:textId="77777777" w:rsidR="002C116D" w:rsidRPr="002C116D" w:rsidRDefault="002C116D" w:rsidP="002C116D">
            <w:pPr>
              <w:spacing w:before="60" w:after="60"/>
              <w:ind w:left="318"/>
              <w:jc w:val="both"/>
              <w:rPr>
                <w:rFonts w:ascii="Arial" w:hAnsi="Arial" w:cs="Arial"/>
                <w:sz w:val="20"/>
                <w:szCs w:val="20"/>
                <w:lang w:val="es-ES_tradnl"/>
              </w:rPr>
            </w:pPr>
            <w:r w:rsidRPr="002C116D">
              <w:rPr>
                <w:rFonts w:ascii="Arial" w:hAnsi="Arial" w:cs="Arial"/>
                <w:sz w:val="20"/>
                <w:szCs w:val="20"/>
                <w:lang w:val="es-ES_tradnl"/>
              </w:rPr>
              <w:t>En caso de que sugieran discrepancias sobre alguno de los criterios a pactar durante la regularización, los operadores en situación (</w:t>
            </w:r>
            <w:proofErr w:type="spellStart"/>
            <w:r w:rsidRPr="002C116D">
              <w:rPr>
                <w:rFonts w:ascii="Arial" w:hAnsi="Arial" w:cs="Arial"/>
                <w:sz w:val="20"/>
                <w:szCs w:val="20"/>
                <w:lang w:val="es-ES_tradnl"/>
              </w:rPr>
              <w:t>iii</w:t>
            </w:r>
            <w:proofErr w:type="spellEnd"/>
            <w:r w:rsidRPr="002C116D">
              <w:rPr>
                <w:rFonts w:ascii="Arial" w:hAnsi="Arial" w:cs="Arial"/>
                <w:sz w:val="20"/>
                <w:szCs w:val="20"/>
                <w:lang w:val="es-ES_tradnl"/>
              </w:rPr>
              <w:t>) podrán solicitar la intervención de la CNMC para su resolución.</w:t>
            </w:r>
          </w:p>
        </w:tc>
      </w:tr>
    </w:tbl>
    <w:p w14:paraId="793B2963" w14:textId="6DAFBFE3" w:rsidR="002C116D" w:rsidRPr="003923CD" w:rsidRDefault="002C116D" w:rsidP="003923CD">
      <w:pPr>
        <w:pStyle w:val="Textoindependiente2"/>
        <w:jc w:val="left"/>
        <w:rPr>
          <w:rFonts w:cs="Arial"/>
          <w:szCs w:val="24"/>
        </w:rPr>
      </w:pPr>
    </w:p>
    <w:p w14:paraId="7B7C8476" w14:textId="77777777" w:rsidR="002C116D" w:rsidRPr="002C116D" w:rsidRDefault="002C116D" w:rsidP="003923CD">
      <w:pPr>
        <w:pStyle w:val="Textoindependiente2"/>
        <w:jc w:val="left"/>
        <w:rPr>
          <w:rFonts w:cs="Arial"/>
          <w:szCs w:val="24"/>
        </w:rPr>
      </w:pPr>
    </w:p>
    <w:sectPr w:rsidR="002C116D" w:rsidRPr="002C116D" w:rsidSect="003923CD">
      <w:headerReference w:type="default" r:id="rId11"/>
      <w:footerReference w:type="default" r:id="rId12"/>
      <w:pgSz w:w="16838" w:h="11906" w:orient="landscape"/>
      <w:pgMar w:top="993" w:right="124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7A845" w14:textId="77777777" w:rsidR="00FA4F75" w:rsidRDefault="00FA4F75">
      <w:r>
        <w:separator/>
      </w:r>
    </w:p>
  </w:endnote>
  <w:endnote w:type="continuationSeparator" w:id="0">
    <w:p w14:paraId="5646FE81" w14:textId="77777777" w:rsidR="00FA4F75" w:rsidRDefault="00FA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xt">
    <w:charset w:val="00"/>
    <w:family w:val="auto"/>
    <w:pitch w:val="variable"/>
    <w:sig w:usb0="A0003AA7" w:usb1="00000000" w:usb2="00000000"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heSansCorrespondence">
    <w:altName w:val="Euphemi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3812E" w14:textId="77777777" w:rsidR="00315D85" w:rsidRDefault="00A27CA5">
    <w:pPr>
      <w:pStyle w:val="Piedepgina"/>
      <w:framePr w:wrap="around" w:vAnchor="text" w:hAnchor="margin" w:xAlign="right" w:y="1"/>
      <w:rPr>
        <w:rStyle w:val="Nmerodepgina"/>
      </w:rPr>
    </w:pPr>
    <w:r>
      <w:rPr>
        <w:rStyle w:val="Nmerodepgina"/>
      </w:rPr>
      <w:fldChar w:fldCharType="begin"/>
    </w:r>
    <w:r w:rsidR="00315D85">
      <w:rPr>
        <w:rStyle w:val="Nmerodepgina"/>
      </w:rPr>
      <w:instrText xml:space="preserve">PAGE  </w:instrText>
    </w:r>
    <w:r>
      <w:rPr>
        <w:rStyle w:val="Nmerodepgina"/>
      </w:rPr>
      <w:fldChar w:fldCharType="end"/>
    </w:r>
  </w:p>
  <w:p w14:paraId="479F8226" w14:textId="77777777" w:rsidR="00315D85" w:rsidRDefault="00315D8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8EA6" w14:textId="77777777" w:rsidR="00315D85" w:rsidRDefault="00315D85">
    <w:pPr>
      <w:pStyle w:val="Piedepgina"/>
      <w:ind w:right="360"/>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7637" w14:textId="7A865E40" w:rsidR="00477735" w:rsidRDefault="00737A8F" w:rsidP="003923CD">
    <w:pPr>
      <w:pStyle w:val="Piedepgina"/>
      <w:pBdr>
        <w:top w:val="single" w:sz="4" w:space="2" w:color="auto"/>
      </w:pBdr>
      <w:ind w:right="360"/>
      <w:rPr>
        <w:rFonts w:ascii="Arial" w:hAnsi="Arial" w:cs="Arial"/>
        <w:sz w:val="20"/>
      </w:rPr>
    </w:pPr>
    <w:r>
      <w:rPr>
        <w:rStyle w:val="Nmerodepgina"/>
        <w:rFonts w:ascii="Arial" w:hAnsi="Arial" w:cs="Arial"/>
        <w:i/>
        <w:iCs/>
        <w:sz w:val="20"/>
      </w:rPr>
      <w:t>Ocupaciones irregulares</w:t>
    </w:r>
    <w:r w:rsidR="00477735">
      <w:rPr>
        <w:rStyle w:val="Nmerodepgina"/>
        <w:rFonts w:ascii="Arial" w:hAnsi="Arial" w:cs="Arial"/>
        <w:sz w:val="20"/>
      </w:rPr>
      <w:tab/>
    </w:r>
    <w:r w:rsidR="00477735">
      <w:rPr>
        <w:rStyle w:val="Nmerodepgina"/>
        <w:rFonts w:ascii="Arial" w:hAnsi="Arial" w:cs="Arial"/>
        <w:sz w:val="20"/>
      </w:rPr>
      <w:tab/>
      <w:t xml:space="preserve"> </w:t>
    </w:r>
    <w:r w:rsidR="00477735">
      <w:rPr>
        <w:rStyle w:val="Nmerodepgina"/>
        <w:rFonts w:ascii="Arial" w:hAnsi="Arial" w:cs="Arial"/>
        <w:sz w:val="20"/>
      </w:rPr>
      <w:tab/>
    </w:r>
    <w:r w:rsidR="00477735">
      <w:rPr>
        <w:rStyle w:val="Nmerodepgina"/>
        <w:rFonts w:ascii="Arial" w:hAnsi="Arial" w:cs="Arial"/>
        <w:sz w:val="20"/>
      </w:rPr>
      <w:tab/>
    </w:r>
    <w:r w:rsidR="00477735">
      <w:rPr>
        <w:rStyle w:val="Nmerodepgina"/>
        <w:rFonts w:ascii="Arial" w:hAnsi="Arial" w:cs="Arial"/>
        <w:sz w:val="20"/>
      </w:rPr>
      <w:tab/>
    </w:r>
    <w:r w:rsidR="00477735">
      <w:rPr>
        <w:rStyle w:val="Nmerodepgina"/>
        <w:rFonts w:ascii="Arial" w:hAnsi="Arial" w:cs="Arial"/>
        <w:sz w:val="20"/>
      </w:rPr>
      <w:tab/>
    </w:r>
    <w:r w:rsidR="002C116D">
      <w:rPr>
        <w:rStyle w:val="Nmerodepgina"/>
        <w:rFonts w:ascii="Arial" w:hAnsi="Arial" w:cs="Arial"/>
        <w:sz w:val="20"/>
      </w:rPr>
      <w:tab/>
    </w:r>
    <w:r w:rsidR="00477735">
      <w:rPr>
        <w:rStyle w:val="Nmerodepgina"/>
        <w:rFonts w:ascii="Arial" w:hAnsi="Arial" w:cs="Arial"/>
        <w:sz w:val="20"/>
      </w:rPr>
      <w:t xml:space="preserve">Página </w:t>
    </w:r>
    <w:r w:rsidR="00477735">
      <w:rPr>
        <w:rStyle w:val="Nmerodepgina"/>
        <w:rFonts w:ascii="Arial" w:hAnsi="Arial" w:cs="Arial"/>
        <w:sz w:val="20"/>
      </w:rPr>
      <w:fldChar w:fldCharType="begin"/>
    </w:r>
    <w:r w:rsidR="00477735">
      <w:rPr>
        <w:rStyle w:val="Nmerodepgina"/>
        <w:rFonts w:ascii="Arial" w:hAnsi="Arial" w:cs="Arial"/>
        <w:sz w:val="20"/>
      </w:rPr>
      <w:instrText xml:space="preserve"> PAGE </w:instrText>
    </w:r>
    <w:r w:rsidR="00477735">
      <w:rPr>
        <w:rStyle w:val="Nmerodepgina"/>
        <w:rFonts w:ascii="Arial" w:hAnsi="Arial" w:cs="Arial"/>
        <w:sz w:val="20"/>
      </w:rPr>
      <w:fldChar w:fldCharType="separate"/>
    </w:r>
    <w:r w:rsidR="00477735">
      <w:rPr>
        <w:rStyle w:val="Nmerodepgina"/>
        <w:rFonts w:ascii="Arial" w:hAnsi="Arial" w:cs="Arial"/>
        <w:noProof/>
        <w:sz w:val="20"/>
      </w:rPr>
      <w:t>9</w:t>
    </w:r>
    <w:r w:rsidR="00477735">
      <w:rPr>
        <w:rStyle w:val="Nmerodepgina"/>
        <w:rFonts w:ascii="Arial" w:hAnsi="Arial" w:cs="Arial"/>
        <w:sz w:val="20"/>
      </w:rPr>
      <w:fldChar w:fldCharType="end"/>
    </w:r>
    <w:r w:rsidR="00477735">
      <w:rPr>
        <w:rStyle w:val="Nmerodepgina"/>
        <w:rFonts w:ascii="Arial" w:hAnsi="Arial" w:cs="Arial"/>
        <w:sz w:val="20"/>
      </w:rPr>
      <w:t xml:space="preserve"> de </w:t>
    </w:r>
    <w:r w:rsidR="00477735">
      <w:rPr>
        <w:rStyle w:val="Nmerodepgina"/>
        <w:rFonts w:ascii="Arial" w:hAnsi="Arial" w:cs="Arial"/>
        <w:sz w:val="20"/>
      </w:rPr>
      <w:fldChar w:fldCharType="begin"/>
    </w:r>
    <w:r w:rsidR="00477735">
      <w:rPr>
        <w:rStyle w:val="Nmerodepgina"/>
        <w:rFonts w:ascii="Arial" w:hAnsi="Arial" w:cs="Arial"/>
        <w:sz w:val="20"/>
      </w:rPr>
      <w:instrText xml:space="preserve"> NUMPAGES </w:instrText>
    </w:r>
    <w:r w:rsidR="00477735">
      <w:rPr>
        <w:rStyle w:val="Nmerodepgina"/>
        <w:rFonts w:ascii="Arial" w:hAnsi="Arial" w:cs="Arial"/>
        <w:sz w:val="20"/>
      </w:rPr>
      <w:fldChar w:fldCharType="separate"/>
    </w:r>
    <w:r w:rsidR="00477735">
      <w:rPr>
        <w:rStyle w:val="Nmerodepgina"/>
        <w:rFonts w:ascii="Arial" w:hAnsi="Arial" w:cs="Arial"/>
        <w:noProof/>
        <w:sz w:val="20"/>
      </w:rPr>
      <w:t>36</w:t>
    </w:r>
    <w:r w:rsidR="00477735">
      <w:rPr>
        <w:rStyle w:val="Nmerodepgin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322C" w14:textId="77777777" w:rsidR="00FA4F75" w:rsidRDefault="00FA4F75">
      <w:r>
        <w:separator/>
      </w:r>
    </w:p>
  </w:footnote>
  <w:footnote w:type="continuationSeparator" w:id="0">
    <w:p w14:paraId="6853DF48" w14:textId="77777777" w:rsidR="00FA4F75" w:rsidRDefault="00FA4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AF30" w14:textId="0DF9714A" w:rsidR="00477735" w:rsidRDefault="00477735">
    <w:pPr>
      <w:pStyle w:val="Encabezado"/>
      <w:pBdr>
        <w:bottom w:val="single" w:sz="4" w:space="1" w:color="auto"/>
      </w:pBdr>
    </w:pPr>
    <w:r>
      <w:rPr>
        <w:rFonts w:ascii="Arial" w:hAnsi="Arial" w:cs="Arial"/>
        <w:sz w:val="16"/>
        <w:lang w:val="es-ES_tradnl"/>
      </w:rPr>
      <w:tab/>
    </w:r>
    <w:r>
      <w:rPr>
        <w:rFonts w:ascii="Arial" w:hAnsi="Arial" w:cs="Arial"/>
        <w:sz w:val="16"/>
        <w:lang w:val="es-ES_tradnl"/>
      </w:rPr>
      <w:tab/>
      <w:t>OFERTA DE REFERENCIA DE SERVICIOS MAYORISTAS DE ACCESOS A INFRAESTRUCTURAS DE OBRA CIVIL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36E6488"/>
    <w:lvl w:ilvl="0">
      <w:numFmt w:val="bullet"/>
      <w:lvlText w:val="*"/>
      <w:lvlJc w:val="left"/>
    </w:lvl>
  </w:abstractNum>
  <w:abstractNum w:abstractNumId="1" w15:restartNumberingAfterBreak="0">
    <w:nsid w:val="0675633B"/>
    <w:multiLevelType w:val="hybridMultilevel"/>
    <w:tmpl w:val="AC4E97F0"/>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75C74AF"/>
    <w:multiLevelType w:val="hybridMultilevel"/>
    <w:tmpl w:val="74F2018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4A1105"/>
    <w:multiLevelType w:val="hybridMultilevel"/>
    <w:tmpl w:val="A02EB144"/>
    <w:lvl w:ilvl="0" w:tplc="20A49488">
      <w:start w:val="1"/>
      <w:numFmt w:val="lowerRoman"/>
      <w:lvlText w:val="(%1)"/>
      <w:lvlJc w:val="left"/>
      <w:pPr>
        <w:ind w:left="720" w:hanging="360"/>
      </w:pPr>
      <w:rPr>
        <w:rFonts w:hint="default"/>
        <w:u w:val="single"/>
      </w:rPr>
    </w:lvl>
    <w:lvl w:ilvl="1" w:tplc="FCDAD14C">
      <w:start w:val="1"/>
      <w:numFmt w:val="lowerRoman"/>
      <w:lvlText w:val="(%2)"/>
      <w:lvlJc w:val="left"/>
      <w:pPr>
        <w:ind w:left="927" w:hanging="360"/>
      </w:pPr>
      <w:rPr>
        <w:rFonts w:ascii="Arial" w:hAnsi="Arial" w:cs="Arial" w:hint="default"/>
        <w:b w:val="0"/>
        <w:u w:val="none"/>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2AF07FF"/>
    <w:multiLevelType w:val="hybridMultilevel"/>
    <w:tmpl w:val="D6BA2514"/>
    <w:lvl w:ilvl="0" w:tplc="CA34A12A">
      <w:start w:val="1"/>
      <w:numFmt w:val="bullet"/>
      <w:lvlText w:val=""/>
      <w:lvlJc w:val="left"/>
      <w:pPr>
        <w:tabs>
          <w:tab w:val="num" w:pos="720"/>
        </w:tabs>
        <w:ind w:left="720" w:hanging="360"/>
      </w:pPr>
      <w:rPr>
        <w:rFonts w:ascii="Symbol" w:hAnsi="Symbol" w:hint="default"/>
        <w:sz w:val="20"/>
      </w:rPr>
    </w:lvl>
    <w:lvl w:ilvl="1" w:tplc="50BA6BCE" w:tentative="1">
      <w:start w:val="1"/>
      <w:numFmt w:val="bullet"/>
      <w:lvlText w:val="o"/>
      <w:lvlJc w:val="left"/>
      <w:pPr>
        <w:tabs>
          <w:tab w:val="num" w:pos="1440"/>
        </w:tabs>
        <w:ind w:left="1440" w:hanging="360"/>
      </w:pPr>
      <w:rPr>
        <w:rFonts w:ascii="Courier New" w:hAnsi="Courier New" w:hint="default"/>
        <w:sz w:val="20"/>
      </w:rPr>
    </w:lvl>
    <w:lvl w:ilvl="2" w:tplc="233C1DD4" w:tentative="1">
      <w:start w:val="1"/>
      <w:numFmt w:val="bullet"/>
      <w:lvlText w:val=""/>
      <w:lvlJc w:val="left"/>
      <w:pPr>
        <w:tabs>
          <w:tab w:val="num" w:pos="2160"/>
        </w:tabs>
        <w:ind w:left="2160" w:hanging="360"/>
      </w:pPr>
      <w:rPr>
        <w:rFonts w:ascii="Wingdings" w:hAnsi="Wingdings" w:hint="default"/>
        <w:sz w:val="20"/>
      </w:rPr>
    </w:lvl>
    <w:lvl w:ilvl="3" w:tplc="C0D43686" w:tentative="1">
      <w:start w:val="1"/>
      <w:numFmt w:val="bullet"/>
      <w:lvlText w:val=""/>
      <w:lvlJc w:val="left"/>
      <w:pPr>
        <w:tabs>
          <w:tab w:val="num" w:pos="2880"/>
        </w:tabs>
        <w:ind w:left="2880" w:hanging="360"/>
      </w:pPr>
      <w:rPr>
        <w:rFonts w:ascii="Wingdings" w:hAnsi="Wingdings" w:hint="default"/>
        <w:sz w:val="20"/>
      </w:rPr>
    </w:lvl>
    <w:lvl w:ilvl="4" w:tplc="05B69B14" w:tentative="1">
      <w:start w:val="1"/>
      <w:numFmt w:val="bullet"/>
      <w:lvlText w:val=""/>
      <w:lvlJc w:val="left"/>
      <w:pPr>
        <w:tabs>
          <w:tab w:val="num" w:pos="3600"/>
        </w:tabs>
        <w:ind w:left="3600" w:hanging="360"/>
      </w:pPr>
      <w:rPr>
        <w:rFonts w:ascii="Wingdings" w:hAnsi="Wingdings" w:hint="default"/>
        <w:sz w:val="20"/>
      </w:rPr>
    </w:lvl>
    <w:lvl w:ilvl="5" w:tplc="F77CEFEC" w:tentative="1">
      <w:start w:val="1"/>
      <w:numFmt w:val="bullet"/>
      <w:lvlText w:val=""/>
      <w:lvlJc w:val="left"/>
      <w:pPr>
        <w:tabs>
          <w:tab w:val="num" w:pos="4320"/>
        </w:tabs>
        <w:ind w:left="4320" w:hanging="360"/>
      </w:pPr>
      <w:rPr>
        <w:rFonts w:ascii="Wingdings" w:hAnsi="Wingdings" w:hint="default"/>
        <w:sz w:val="20"/>
      </w:rPr>
    </w:lvl>
    <w:lvl w:ilvl="6" w:tplc="DC6008CE" w:tentative="1">
      <w:start w:val="1"/>
      <w:numFmt w:val="bullet"/>
      <w:lvlText w:val=""/>
      <w:lvlJc w:val="left"/>
      <w:pPr>
        <w:tabs>
          <w:tab w:val="num" w:pos="5040"/>
        </w:tabs>
        <w:ind w:left="5040" w:hanging="360"/>
      </w:pPr>
      <w:rPr>
        <w:rFonts w:ascii="Wingdings" w:hAnsi="Wingdings" w:hint="default"/>
        <w:sz w:val="20"/>
      </w:rPr>
    </w:lvl>
    <w:lvl w:ilvl="7" w:tplc="26FCD8B2" w:tentative="1">
      <w:start w:val="1"/>
      <w:numFmt w:val="bullet"/>
      <w:lvlText w:val=""/>
      <w:lvlJc w:val="left"/>
      <w:pPr>
        <w:tabs>
          <w:tab w:val="num" w:pos="5760"/>
        </w:tabs>
        <w:ind w:left="5760" w:hanging="360"/>
      </w:pPr>
      <w:rPr>
        <w:rFonts w:ascii="Wingdings" w:hAnsi="Wingdings" w:hint="default"/>
        <w:sz w:val="20"/>
      </w:rPr>
    </w:lvl>
    <w:lvl w:ilvl="8" w:tplc="C7E40504"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A116F"/>
    <w:multiLevelType w:val="hybridMultilevel"/>
    <w:tmpl w:val="E9A26DB2"/>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1D0C0B65"/>
    <w:multiLevelType w:val="hybridMultilevel"/>
    <w:tmpl w:val="82F0D866"/>
    <w:lvl w:ilvl="0" w:tplc="672EE516">
      <w:numFmt w:val="bullet"/>
      <w:lvlText w:val="-"/>
      <w:lvlJc w:val="left"/>
      <w:pPr>
        <w:tabs>
          <w:tab w:val="num" w:pos="1080"/>
        </w:tabs>
        <w:ind w:left="1080" w:hanging="360"/>
      </w:pPr>
      <w:rPr>
        <w:rFonts w:ascii="Arial" w:eastAsia="Times New Roman" w:hAnsi="Arial" w:cs="Aria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7" w15:restartNumberingAfterBreak="0">
    <w:nsid w:val="24DA6A39"/>
    <w:multiLevelType w:val="hybridMultilevel"/>
    <w:tmpl w:val="B5C268DA"/>
    <w:lvl w:ilvl="0" w:tplc="0C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7D95A34"/>
    <w:multiLevelType w:val="hybridMultilevel"/>
    <w:tmpl w:val="A40608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96785A"/>
    <w:multiLevelType w:val="hybridMultilevel"/>
    <w:tmpl w:val="84680F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F82FA1"/>
    <w:multiLevelType w:val="hybridMultilevel"/>
    <w:tmpl w:val="D2A468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AC0715"/>
    <w:multiLevelType w:val="hybridMultilevel"/>
    <w:tmpl w:val="ACC20FD0"/>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0D110B5"/>
    <w:multiLevelType w:val="hybridMultilevel"/>
    <w:tmpl w:val="E0D62D42"/>
    <w:lvl w:ilvl="0" w:tplc="31A28A44">
      <w:start w:val="6"/>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2ED775F"/>
    <w:multiLevelType w:val="hybridMultilevel"/>
    <w:tmpl w:val="CF18664A"/>
    <w:lvl w:ilvl="0" w:tplc="DDBCF5D6">
      <w:start w:val="12"/>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C636F2C"/>
    <w:multiLevelType w:val="hybridMultilevel"/>
    <w:tmpl w:val="515461E4"/>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2A457D9"/>
    <w:multiLevelType w:val="hybridMultilevel"/>
    <w:tmpl w:val="71924C4A"/>
    <w:lvl w:ilvl="0" w:tplc="0E8459E0">
      <w:start w:val="1"/>
      <w:numFmt w:val="decimal"/>
      <w:lvlText w:val="%1."/>
      <w:lvlJc w:val="left"/>
      <w:pPr>
        <w:ind w:left="4613" w:hanging="360"/>
      </w:pPr>
      <w:rPr>
        <w:rFonts w:hint="default"/>
      </w:rPr>
    </w:lvl>
    <w:lvl w:ilvl="1" w:tplc="040A0019" w:tentative="1">
      <w:start w:val="1"/>
      <w:numFmt w:val="lowerLetter"/>
      <w:lvlText w:val="%2."/>
      <w:lvlJc w:val="left"/>
      <w:pPr>
        <w:ind w:left="5333" w:hanging="360"/>
      </w:pPr>
    </w:lvl>
    <w:lvl w:ilvl="2" w:tplc="040A001B" w:tentative="1">
      <w:start w:val="1"/>
      <w:numFmt w:val="lowerRoman"/>
      <w:lvlText w:val="%3."/>
      <w:lvlJc w:val="right"/>
      <w:pPr>
        <w:ind w:left="6053" w:hanging="180"/>
      </w:pPr>
    </w:lvl>
    <w:lvl w:ilvl="3" w:tplc="040A000F" w:tentative="1">
      <w:start w:val="1"/>
      <w:numFmt w:val="decimal"/>
      <w:lvlText w:val="%4."/>
      <w:lvlJc w:val="left"/>
      <w:pPr>
        <w:ind w:left="6773" w:hanging="360"/>
      </w:pPr>
    </w:lvl>
    <w:lvl w:ilvl="4" w:tplc="040A0019" w:tentative="1">
      <w:start w:val="1"/>
      <w:numFmt w:val="lowerLetter"/>
      <w:lvlText w:val="%5."/>
      <w:lvlJc w:val="left"/>
      <w:pPr>
        <w:ind w:left="7493" w:hanging="360"/>
      </w:pPr>
    </w:lvl>
    <w:lvl w:ilvl="5" w:tplc="040A001B" w:tentative="1">
      <w:start w:val="1"/>
      <w:numFmt w:val="lowerRoman"/>
      <w:lvlText w:val="%6."/>
      <w:lvlJc w:val="right"/>
      <w:pPr>
        <w:ind w:left="8213" w:hanging="180"/>
      </w:pPr>
    </w:lvl>
    <w:lvl w:ilvl="6" w:tplc="040A000F" w:tentative="1">
      <w:start w:val="1"/>
      <w:numFmt w:val="decimal"/>
      <w:lvlText w:val="%7."/>
      <w:lvlJc w:val="left"/>
      <w:pPr>
        <w:ind w:left="8933" w:hanging="360"/>
      </w:pPr>
    </w:lvl>
    <w:lvl w:ilvl="7" w:tplc="040A0019" w:tentative="1">
      <w:start w:val="1"/>
      <w:numFmt w:val="lowerLetter"/>
      <w:lvlText w:val="%8."/>
      <w:lvlJc w:val="left"/>
      <w:pPr>
        <w:ind w:left="9653" w:hanging="360"/>
      </w:pPr>
    </w:lvl>
    <w:lvl w:ilvl="8" w:tplc="040A001B" w:tentative="1">
      <w:start w:val="1"/>
      <w:numFmt w:val="lowerRoman"/>
      <w:lvlText w:val="%9."/>
      <w:lvlJc w:val="right"/>
      <w:pPr>
        <w:ind w:left="10373" w:hanging="180"/>
      </w:pPr>
    </w:lvl>
  </w:abstractNum>
  <w:abstractNum w:abstractNumId="16" w15:restartNumberingAfterBreak="0">
    <w:nsid w:val="47317740"/>
    <w:multiLevelType w:val="hybridMultilevel"/>
    <w:tmpl w:val="74F2018E"/>
    <w:lvl w:ilvl="0" w:tplc="0C0A000F">
      <w:start w:val="1"/>
      <w:numFmt w:val="decimal"/>
      <w:lvlText w:val="%1."/>
      <w:lvlJc w:val="left"/>
      <w:pPr>
        <w:tabs>
          <w:tab w:val="num" w:pos="360"/>
        </w:tabs>
        <w:ind w:left="360" w:hanging="360"/>
      </w:p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185F78"/>
    <w:multiLevelType w:val="hybridMultilevel"/>
    <w:tmpl w:val="B4026664"/>
    <w:lvl w:ilvl="0" w:tplc="DA64C10C">
      <w:start w:val="1"/>
      <w:numFmt w:val="upperLetter"/>
      <w:lvlText w:val="%1)"/>
      <w:lvlJc w:val="left"/>
      <w:pPr>
        <w:tabs>
          <w:tab w:val="num" w:pos="360"/>
        </w:tabs>
        <w:ind w:left="360" w:hanging="360"/>
      </w:pPr>
      <w:rPr>
        <w:rFonts w:hint="default"/>
      </w:rPr>
    </w:lvl>
    <w:lvl w:ilvl="1" w:tplc="8B747706">
      <w:start w:val="1"/>
      <w:numFmt w:val="bullet"/>
      <w:lvlText w:val="-"/>
      <w:lvlJc w:val="left"/>
      <w:pPr>
        <w:tabs>
          <w:tab w:val="num" w:pos="1230"/>
        </w:tabs>
        <w:ind w:left="1230" w:hanging="510"/>
      </w:pPr>
      <w:rPr>
        <w:rFonts w:ascii="Arial" w:eastAsia="Times New Roman" w:hAnsi="Arial" w:cs="Aria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4E030182"/>
    <w:multiLevelType w:val="singleLevel"/>
    <w:tmpl w:val="FB988138"/>
    <w:lvl w:ilvl="0">
      <w:start w:val="1"/>
      <w:numFmt w:val="lowerLetter"/>
      <w:lvlText w:val="%1)"/>
      <w:lvlJc w:val="left"/>
      <w:pPr>
        <w:tabs>
          <w:tab w:val="num" w:pos="1413"/>
        </w:tabs>
        <w:ind w:left="1413" w:hanging="705"/>
      </w:pPr>
      <w:rPr>
        <w:rFonts w:hint="default"/>
        <w:b/>
      </w:rPr>
    </w:lvl>
  </w:abstractNum>
  <w:abstractNum w:abstractNumId="19" w15:restartNumberingAfterBreak="0">
    <w:nsid w:val="564738FF"/>
    <w:multiLevelType w:val="hybridMultilevel"/>
    <w:tmpl w:val="ABCC62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AE176A"/>
    <w:multiLevelType w:val="multilevel"/>
    <w:tmpl w:val="84680F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9D43F3"/>
    <w:multiLevelType w:val="hybridMultilevel"/>
    <w:tmpl w:val="E40C54A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9BE0BE9"/>
    <w:multiLevelType w:val="hybridMultilevel"/>
    <w:tmpl w:val="1462682C"/>
    <w:lvl w:ilvl="0" w:tplc="0C0A000F">
      <w:start w:val="1"/>
      <w:numFmt w:val="decimal"/>
      <w:lvlText w:val="%1."/>
      <w:lvlJc w:val="left"/>
      <w:pPr>
        <w:tabs>
          <w:tab w:val="num" w:pos="1440"/>
        </w:tabs>
        <w:ind w:left="1440" w:hanging="360"/>
      </w:p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3" w15:restartNumberingAfterBreak="0">
    <w:nsid w:val="5B0C1F32"/>
    <w:multiLevelType w:val="hybridMultilevel"/>
    <w:tmpl w:val="D9F62AF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B3266B5"/>
    <w:multiLevelType w:val="hybridMultilevel"/>
    <w:tmpl w:val="02E8EB50"/>
    <w:lvl w:ilvl="0" w:tplc="0C0A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5ED42474"/>
    <w:multiLevelType w:val="hybridMultilevel"/>
    <w:tmpl w:val="AEFC9888"/>
    <w:lvl w:ilvl="0" w:tplc="0C0A000F">
      <w:start w:val="1"/>
      <w:numFmt w:val="decimal"/>
      <w:lvlText w:val="%1."/>
      <w:lvlJc w:val="left"/>
      <w:pPr>
        <w:tabs>
          <w:tab w:val="num" w:pos="720"/>
        </w:tabs>
        <w:ind w:left="720" w:hanging="360"/>
      </w:pPr>
    </w:lvl>
    <w:lvl w:ilvl="1" w:tplc="94E6DAEA">
      <w:start w:val="1"/>
      <w:numFmt w:val="bullet"/>
      <w:lvlText w:val=""/>
      <w:lvlJc w:val="left"/>
      <w:pPr>
        <w:tabs>
          <w:tab w:val="num" w:pos="1440"/>
        </w:tabs>
        <w:ind w:left="1440" w:hanging="360"/>
      </w:pPr>
      <w:rPr>
        <w:rFonts w:ascii="Symbol" w:hAnsi="Symbol" w:hint="default"/>
      </w:rPr>
    </w:lvl>
    <w:lvl w:ilvl="2" w:tplc="0C0A0001">
      <w:start w:val="1"/>
      <w:numFmt w:val="bullet"/>
      <w:lvlText w:val=""/>
      <w:lvlJc w:val="left"/>
      <w:pPr>
        <w:tabs>
          <w:tab w:val="num" w:pos="2340"/>
        </w:tabs>
        <w:ind w:left="2340" w:hanging="360"/>
      </w:pPr>
      <w:rPr>
        <w:rFonts w:ascii="Symbol" w:hAnsi="Symbol" w:hint="default"/>
      </w:rPr>
    </w:lvl>
    <w:lvl w:ilvl="3" w:tplc="0C0A000B">
      <w:start w:val="1"/>
      <w:numFmt w:val="bullet"/>
      <w:lvlText w:val=""/>
      <w:lvlJc w:val="left"/>
      <w:pPr>
        <w:tabs>
          <w:tab w:val="num" w:pos="2880"/>
        </w:tabs>
        <w:ind w:left="2880" w:hanging="360"/>
      </w:pPr>
      <w:rPr>
        <w:rFonts w:ascii="Wingdings" w:hAnsi="Wingding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672074CD"/>
    <w:multiLevelType w:val="hybridMultilevel"/>
    <w:tmpl w:val="200A745A"/>
    <w:lvl w:ilvl="0" w:tplc="672EE516">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77D679F"/>
    <w:multiLevelType w:val="hybridMultilevel"/>
    <w:tmpl w:val="3662C0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4A3304"/>
    <w:multiLevelType w:val="hybridMultilevel"/>
    <w:tmpl w:val="D0388FA2"/>
    <w:lvl w:ilvl="0" w:tplc="F6527388">
      <w:start w:val="1"/>
      <w:numFmt w:val="bullet"/>
      <w:lvlText w:val=""/>
      <w:lvlJc w:val="left"/>
      <w:pPr>
        <w:tabs>
          <w:tab w:val="num" w:pos="360"/>
        </w:tabs>
        <w:ind w:left="360" w:hanging="360"/>
      </w:pPr>
      <w:rPr>
        <w:rFonts w:ascii="Symbol" w:hAnsi="Symbol" w:hint="default"/>
      </w:rPr>
    </w:lvl>
    <w:lvl w:ilvl="1" w:tplc="04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8C4E34"/>
    <w:multiLevelType w:val="hybridMultilevel"/>
    <w:tmpl w:val="C396E1CC"/>
    <w:lvl w:ilvl="0" w:tplc="7D28E11A">
      <w:start w:val="1"/>
      <w:numFmt w:val="bullet"/>
      <w:lvlText w:val=""/>
      <w:lvlJc w:val="left"/>
      <w:pPr>
        <w:tabs>
          <w:tab w:val="num" w:pos="1800"/>
        </w:tabs>
        <w:ind w:left="180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A77A95"/>
    <w:multiLevelType w:val="hybridMultilevel"/>
    <w:tmpl w:val="0D38628C"/>
    <w:lvl w:ilvl="0" w:tplc="C4CC3940">
      <w:start w:val="1"/>
      <w:numFmt w:val="bullet"/>
      <w:lvlText w:val="−"/>
      <w:lvlJc w:val="left"/>
      <w:pPr>
        <w:tabs>
          <w:tab w:val="num" w:pos="720"/>
        </w:tabs>
        <w:ind w:left="720" w:hanging="360"/>
      </w:pPr>
      <w:rPr>
        <w:rFonts w:ascii="Txt" w:hAnsi="Txt"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0D44F7"/>
    <w:multiLevelType w:val="hybridMultilevel"/>
    <w:tmpl w:val="925A2804"/>
    <w:lvl w:ilvl="0" w:tplc="F4D2DA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6E15F6"/>
    <w:multiLevelType w:val="hybridMultilevel"/>
    <w:tmpl w:val="44026A46"/>
    <w:lvl w:ilvl="0" w:tplc="F6527388">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3641B3"/>
    <w:multiLevelType w:val="hybridMultilevel"/>
    <w:tmpl w:val="3FF89EC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C8974BB"/>
    <w:multiLevelType w:val="hybridMultilevel"/>
    <w:tmpl w:val="FA46D7E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8"/>
  </w:num>
  <w:num w:numId="2">
    <w:abstractNumId w:val="14"/>
  </w:num>
  <w:num w:numId="3">
    <w:abstractNumId w:val="2"/>
  </w:num>
  <w:num w:numId="4">
    <w:abstractNumId w:val="31"/>
  </w:num>
  <w:num w:numId="5">
    <w:abstractNumId w:val="25"/>
  </w:num>
  <w:num w:numId="6">
    <w:abstractNumId w:val="11"/>
  </w:num>
  <w:num w:numId="7">
    <w:abstractNumId w:val="4"/>
  </w:num>
  <w:num w:numId="8">
    <w:abstractNumId w:val="19"/>
  </w:num>
  <w:num w:numId="9">
    <w:abstractNumId w:val="23"/>
  </w:num>
  <w:num w:numId="10">
    <w:abstractNumId w:val="34"/>
  </w:num>
  <w:num w:numId="11">
    <w:abstractNumId w:val="16"/>
  </w:num>
  <w:num w:numId="12">
    <w:abstractNumId w:val="13"/>
  </w:num>
  <w:num w:numId="13">
    <w:abstractNumId w:val="9"/>
  </w:num>
  <w:num w:numId="14">
    <w:abstractNumId w:val="20"/>
  </w:num>
  <w:num w:numId="15">
    <w:abstractNumId w:val="32"/>
  </w:num>
  <w:num w:numId="16">
    <w:abstractNumId w:val="17"/>
  </w:num>
  <w:num w:numId="17">
    <w:abstractNumId w:val="33"/>
  </w:num>
  <w:num w:numId="18">
    <w:abstractNumId w:val="24"/>
  </w:num>
  <w:num w:numId="19">
    <w:abstractNumId w:val="12"/>
  </w:num>
  <w:num w:numId="20">
    <w:abstractNumId w:val="21"/>
  </w:num>
  <w:num w:numId="21">
    <w:abstractNumId w:val="28"/>
  </w:num>
  <w:num w:numId="22">
    <w:abstractNumId w:val="30"/>
  </w:num>
  <w:num w:numId="23">
    <w:abstractNumId w:val="27"/>
  </w:num>
  <w:num w:numId="24">
    <w:abstractNumId w:val="10"/>
  </w:num>
  <w:num w:numId="25">
    <w:abstractNumId w:val="8"/>
  </w:num>
  <w:num w:numId="26">
    <w:abstractNumId w:val="0"/>
    <w:lvlOverride w:ilvl="0">
      <w:lvl w:ilvl="0">
        <w:numFmt w:val="bullet"/>
        <w:lvlText w:val="•"/>
        <w:legacy w:legacy="1" w:legacySpace="0" w:legacyIndent="0"/>
        <w:lvlJc w:val="left"/>
        <w:rPr>
          <w:rFonts w:ascii="Helv" w:hAnsi="Helv" w:hint="default"/>
        </w:rPr>
      </w:lvl>
    </w:lvlOverride>
  </w:num>
  <w:num w:numId="27">
    <w:abstractNumId w:val="5"/>
  </w:num>
  <w:num w:numId="28">
    <w:abstractNumId w:val="22"/>
  </w:num>
  <w:num w:numId="29">
    <w:abstractNumId w:val="26"/>
  </w:num>
  <w:num w:numId="30">
    <w:abstractNumId w:val="6"/>
  </w:num>
  <w:num w:numId="31">
    <w:abstractNumId w:val="29"/>
  </w:num>
  <w:num w:numId="32">
    <w:abstractNumId w:val="1"/>
  </w:num>
  <w:num w:numId="33">
    <w:abstractNumId w:val="15"/>
  </w:num>
  <w:num w:numId="34">
    <w:abstractNumId w:val="7"/>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5F70"/>
    <w:rsid w:val="0001731B"/>
    <w:rsid w:val="00020D0A"/>
    <w:rsid w:val="00025697"/>
    <w:rsid w:val="0002777B"/>
    <w:rsid w:val="000369E5"/>
    <w:rsid w:val="00065CDB"/>
    <w:rsid w:val="000734E7"/>
    <w:rsid w:val="00073BC6"/>
    <w:rsid w:val="000909B6"/>
    <w:rsid w:val="000B258A"/>
    <w:rsid w:val="000C48C4"/>
    <w:rsid w:val="000D71F4"/>
    <w:rsid w:val="000F275D"/>
    <w:rsid w:val="001003B3"/>
    <w:rsid w:val="001032F6"/>
    <w:rsid w:val="001050D6"/>
    <w:rsid w:val="00105770"/>
    <w:rsid w:val="0012375F"/>
    <w:rsid w:val="0012704C"/>
    <w:rsid w:val="00137E7A"/>
    <w:rsid w:val="00140BC0"/>
    <w:rsid w:val="00141C2D"/>
    <w:rsid w:val="00175105"/>
    <w:rsid w:val="0018550E"/>
    <w:rsid w:val="00190281"/>
    <w:rsid w:val="001A03E3"/>
    <w:rsid w:val="001A6171"/>
    <w:rsid w:val="001B3B91"/>
    <w:rsid w:val="001C3539"/>
    <w:rsid w:val="001C4FA7"/>
    <w:rsid w:val="001E589F"/>
    <w:rsid w:val="001F1B1B"/>
    <w:rsid w:val="002043EF"/>
    <w:rsid w:val="00222722"/>
    <w:rsid w:val="00235FEE"/>
    <w:rsid w:val="00250726"/>
    <w:rsid w:val="00260F76"/>
    <w:rsid w:val="0026431E"/>
    <w:rsid w:val="00267F59"/>
    <w:rsid w:val="00275B98"/>
    <w:rsid w:val="002A7BAC"/>
    <w:rsid w:val="002C116D"/>
    <w:rsid w:val="002C3E5F"/>
    <w:rsid w:val="002D2EA0"/>
    <w:rsid w:val="002E270F"/>
    <w:rsid w:val="002F05DC"/>
    <w:rsid w:val="003023E9"/>
    <w:rsid w:val="003038AD"/>
    <w:rsid w:val="003071E0"/>
    <w:rsid w:val="00313E14"/>
    <w:rsid w:val="00315D85"/>
    <w:rsid w:val="00316453"/>
    <w:rsid w:val="00320715"/>
    <w:rsid w:val="00335AE2"/>
    <w:rsid w:val="00347890"/>
    <w:rsid w:val="00354D6B"/>
    <w:rsid w:val="00355DDA"/>
    <w:rsid w:val="00362F6C"/>
    <w:rsid w:val="00374315"/>
    <w:rsid w:val="0037587D"/>
    <w:rsid w:val="003814C2"/>
    <w:rsid w:val="003923CD"/>
    <w:rsid w:val="003C782F"/>
    <w:rsid w:val="003C7D28"/>
    <w:rsid w:val="003D2439"/>
    <w:rsid w:val="0040465E"/>
    <w:rsid w:val="0041611D"/>
    <w:rsid w:val="00430DDD"/>
    <w:rsid w:val="00434985"/>
    <w:rsid w:val="004506B5"/>
    <w:rsid w:val="004603A3"/>
    <w:rsid w:val="004622DC"/>
    <w:rsid w:val="00473AB5"/>
    <w:rsid w:val="00473BAD"/>
    <w:rsid w:val="00474E59"/>
    <w:rsid w:val="00477735"/>
    <w:rsid w:val="00477E8A"/>
    <w:rsid w:val="004830EB"/>
    <w:rsid w:val="00486833"/>
    <w:rsid w:val="004A2268"/>
    <w:rsid w:val="004C0891"/>
    <w:rsid w:val="004E7CA2"/>
    <w:rsid w:val="004F175F"/>
    <w:rsid w:val="004F5FA5"/>
    <w:rsid w:val="00500A58"/>
    <w:rsid w:val="00501AF9"/>
    <w:rsid w:val="00515E13"/>
    <w:rsid w:val="00533F9F"/>
    <w:rsid w:val="00556A1E"/>
    <w:rsid w:val="005647DA"/>
    <w:rsid w:val="00567393"/>
    <w:rsid w:val="00570C8A"/>
    <w:rsid w:val="005720AC"/>
    <w:rsid w:val="00574126"/>
    <w:rsid w:val="005871AA"/>
    <w:rsid w:val="005914FF"/>
    <w:rsid w:val="005A4E1F"/>
    <w:rsid w:val="005A5E92"/>
    <w:rsid w:val="005B7280"/>
    <w:rsid w:val="005D1B4C"/>
    <w:rsid w:val="005D1F6E"/>
    <w:rsid w:val="005D41B8"/>
    <w:rsid w:val="005D49C5"/>
    <w:rsid w:val="005E3BCB"/>
    <w:rsid w:val="005E517F"/>
    <w:rsid w:val="005E7C1C"/>
    <w:rsid w:val="00600F9B"/>
    <w:rsid w:val="006076CE"/>
    <w:rsid w:val="00611D65"/>
    <w:rsid w:val="00642C3C"/>
    <w:rsid w:val="00660C44"/>
    <w:rsid w:val="006F0CD4"/>
    <w:rsid w:val="00700433"/>
    <w:rsid w:val="00711B38"/>
    <w:rsid w:val="00720699"/>
    <w:rsid w:val="00721FB2"/>
    <w:rsid w:val="00723440"/>
    <w:rsid w:val="00726CB1"/>
    <w:rsid w:val="00727DE0"/>
    <w:rsid w:val="00737A8F"/>
    <w:rsid w:val="00741E11"/>
    <w:rsid w:val="007441AB"/>
    <w:rsid w:val="00767497"/>
    <w:rsid w:val="0077241B"/>
    <w:rsid w:val="00783CA6"/>
    <w:rsid w:val="0078453D"/>
    <w:rsid w:val="00784F88"/>
    <w:rsid w:val="007873E4"/>
    <w:rsid w:val="00790B5F"/>
    <w:rsid w:val="00790C15"/>
    <w:rsid w:val="007A565B"/>
    <w:rsid w:val="007B3FCC"/>
    <w:rsid w:val="007C6E9C"/>
    <w:rsid w:val="007C70D2"/>
    <w:rsid w:val="007D2F16"/>
    <w:rsid w:val="00823830"/>
    <w:rsid w:val="00831D6C"/>
    <w:rsid w:val="00871251"/>
    <w:rsid w:val="00873279"/>
    <w:rsid w:val="00880F1C"/>
    <w:rsid w:val="008837B5"/>
    <w:rsid w:val="00885038"/>
    <w:rsid w:val="008A1691"/>
    <w:rsid w:val="008A7887"/>
    <w:rsid w:val="008C5F70"/>
    <w:rsid w:val="008D6E42"/>
    <w:rsid w:val="009063A5"/>
    <w:rsid w:val="009571F1"/>
    <w:rsid w:val="00973A1C"/>
    <w:rsid w:val="00974252"/>
    <w:rsid w:val="0098765E"/>
    <w:rsid w:val="009B7F5A"/>
    <w:rsid w:val="009C72CA"/>
    <w:rsid w:val="009D251A"/>
    <w:rsid w:val="009E30EF"/>
    <w:rsid w:val="009E6509"/>
    <w:rsid w:val="009F1F36"/>
    <w:rsid w:val="009F4BD1"/>
    <w:rsid w:val="00A2088E"/>
    <w:rsid w:val="00A27603"/>
    <w:rsid w:val="00A27CA5"/>
    <w:rsid w:val="00A34A33"/>
    <w:rsid w:val="00A41094"/>
    <w:rsid w:val="00A67465"/>
    <w:rsid w:val="00A84AAE"/>
    <w:rsid w:val="00AB11DF"/>
    <w:rsid w:val="00AB28F3"/>
    <w:rsid w:val="00AC36D2"/>
    <w:rsid w:val="00AE21E7"/>
    <w:rsid w:val="00AE3CC4"/>
    <w:rsid w:val="00AE6CBB"/>
    <w:rsid w:val="00AF718A"/>
    <w:rsid w:val="00B13802"/>
    <w:rsid w:val="00B168D0"/>
    <w:rsid w:val="00B16F11"/>
    <w:rsid w:val="00B31D60"/>
    <w:rsid w:val="00B42FE1"/>
    <w:rsid w:val="00B77071"/>
    <w:rsid w:val="00BB0F07"/>
    <w:rsid w:val="00BB6FC0"/>
    <w:rsid w:val="00BE5246"/>
    <w:rsid w:val="00C010C1"/>
    <w:rsid w:val="00C06BBB"/>
    <w:rsid w:val="00C15D0B"/>
    <w:rsid w:val="00C2090B"/>
    <w:rsid w:val="00C24201"/>
    <w:rsid w:val="00C372D2"/>
    <w:rsid w:val="00C50AC4"/>
    <w:rsid w:val="00C5116B"/>
    <w:rsid w:val="00C5649F"/>
    <w:rsid w:val="00C657D2"/>
    <w:rsid w:val="00C67EA9"/>
    <w:rsid w:val="00C75B0D"/>
    <w:rsid w:val="00C810C5"/>
    <w:rsid w:val="00C8282D"/>
    <w:rsid w:val="00C90A77"/>
    <w:rsid w:val="00CA3D50"/>
    <w:rsid w:val="00CB455F"/>
    <w:rsid w:val="00CD1974"/>
    <w:rsid w:val="00CD7A39"/>
    <w:rsid w:val="00CE3A4D"/>
    <w:rsid w:val="00CE5AA5"/>
    <w:rsid w:val="00CF5786"/>
    <w:rsid w:val="00D27909"/>
    <w:rsid w:val="00D35F84"/>
    <w:rsid w:val="00D36542"/>
    <w:rsid w:val="00D509C7"/>
    <w:rsid w:val="00D61759"/>
    <w:rsid w:val="00DA0968"/>
    <w:rsid w:val="00DA0AD3"/>
    <w:rsid w:val="00DA0B90"/>
    <w:rsid w:val="00DA6187"/>
    <w:rsid w:val="00DB2A66"/>
    <w:rsid w:val="00DB6FD8"/>
    <w:rsid w:val="00DC7685"/>
    <w:rsid w:val="00DD07BB"/>
    <w:rsid w:val="00DD3DC3"/>
    <w:rsid w:val="00DE5D34"/>
    <w:rsid w:val="00DF4BA9"/>
    <w:rsid w:val="00E00CAE"/>
    <w:rsid w:val="00E14CA0"/>
    <w:rsid w:val="00E31388"/>
    <w:rsid w:val="00E4113A"/>
    <w:rsid w:val="00E5093F"/>
    <w:rsid w:val="00E569D2"/>
    <w:rsid w:val="00E67EE6"/>
    <w:rsid w:val="00E83C5A"/>
    <w:rsid w:val="00E83E6B"/>
    <w:rsid w:val="00E87AFA"/>
    <w:rsid w:val="00E91385"/>
    <w:rsid w:val="00E916F2"/>
    <w:rsid w:val="00EA79A0"/>
    <w:rsid w:val="00EB16A6"/>
    <w:rsid w:val="00EC13E6"/>
    <w:rsid w:val="00ED2CD9"/>
    <w:rsid w:val="00ED40FB"/>
    <w:rsid w:val="00EE061C"/>
    <w:rsid w:val="00EE5AE8"/>
    <w:rsid w:val="00EF7CB1"/>
    <w:rsid w:val="00EF7DD3"/>
    <w:rsid w:val="00F13D2D"/>
    <w:rsid w:val="00F42CAD"/>
    <w:rsid w:val="00F43582"/>
    <w:rsid w:val="00F53400"/>
    <w:rsid w:val="00F55FA8"/>
    <w:rsid w:val="00F779C3"/>
    <w:rsid w:val="00F87F83"/>
    <w:rsid w:val="00F94FBC"/>
    <w:rsid w:val="00FA4F75"/>
    <w:rsid w:val="00FB30EA"/>
    <w:rsid w:val="00FC52C5"/>
    <w:rsid w:val="00FD6B0E"/>
    <w:rsid w:val="00FD7D14"/>
    <w:rsid w:val="00FE008B"/>
    <w:rsid w:val="00FF45CD"/>
    <w:rsid w:val="00FF5C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9880659"/>
  <w15:docId w15:val="{EEA455E6-19AA-4C19-9738-C9979E6F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833"/>
    <w:rPr>
      <w:sz w:val="24"/>
      <w:szCs w:val="24"/>
    </w:rPr>
  </w:style>
  <w:style w:type="paragraph" w:styleId="Ttulo1">
    <w:name w:val="heading 1"/>
    <w:basedOn w:val="Normal"/>
    <w:next w:val="Normal"/>
    <w:qFormat/>
    <w:rsid w:val="00486833"/>
    <w:pPr>
      <w:spacing w:before="120" w:after="120"/>
      <w:jc w:val="both"/>
      <w:outlineLvl w:val="0"/>
    </w:pPr>
    <w:rPr>
      <w:rFonts w:ascii="Garamond" w:hAnsi="Garamond"/>
      <w:b/>
      <w:caps/>
      <w:sz w:val="22"/>
      <w:szCs w:val="20"/>
      <w:lang w:val="es-ES_tradnl"/>
    </w:rPr>
  </w:style>
  <w:style w:type="paragraph" w:styleId="Ttulo2">
    <w:name w:val="heading 2"/>
    <w:basedOn w:val="Normal"/>
    <w:next w:val="Normal"/>
    <w:qFormat/>
    <w:rsid w:val="00486833"/>
    <w:pPr>
      <w:keepNext/>
      <w:jc w:val="center"/>
      <w:outlineLvl w:val="1"/>
    </w:pPr>
    <w:rPr>
      <w:rFonts w:ascii="Arial" w:hAnsi="Arial"/>
      <w:b/>
    </w:rPr>
  </w:style>
  <w:style w:type="paragraph" w:styleId="Ttulo3">
    <w:name w:val="heading 3"/>
    <w:basedOn w:val="Normal"/>
    <w:next w:val="Normal"/>
    <w:qFormat/>
    <w:rsid w:val="00486833"/>
    <w:pPr>
      <w:keepNext/>
      <w:jc w:val="both"/>
      <w:outlineLvl w:val="2"/>
    </w:pPr>
    <w:rPr>
      <w:rFonts w:ascii="Arial" w:hAnsi="Arial"/>
      <w:b/>
    </w:rPr>
  </w:style>
  <w:style w:type="paragraph" w:styleId="Ttulo4">
    <w:name w:val="heading 4"/>
    <w:basedOn w:val="Normal"/>
    <w:next w:val="Normal"/>
    <w:qFormat/>
    <w:rsid w:val="00486833"/>
    <w:pPr>
      <w:keepNext/>
      <w:outlineLvl w:val="3"/>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semiHidden/>
    <w:rsid w:val="00486833"/>
    <w:pPr>
      <w:tabs>
        <w:tab w:val="left" w:pos="7797"/>
      </w:tabs>
      <w:jc w:val="center"/>
    </w:pPr>
    <w:rPr>
      <w:rFonts w:ascii="Arial" w:hAnsi="Arial"/>
      <w:b/>
      <w:szCs w:val="20"/>
      <w:lang w:val="es-ES_tradnl"/>
    </w:rPr>
  </w:style>
  <w:style w:type="paragraph" w:customStyle="1" w:styleId="BodyText21">
    <w:name w:val="Body Text 21"/>
    <w:basedOn w:val="Normal"/>
    <w:rsid w:val="00486833"/>
    <w:pPr>
      <w:widowControl w:val="0"/>
      <w:jc w:val="both"/>
    </w:pPr>
    <w:rPr>
      <w:rFonts w:ascii="Arial" w:hAnsi="Arial"/>
      <w:szCs w:val="20"/>
      <w:lang w:val="es-ES_tradnl"/>
    </w:rPr>
  </w:style>
  <w:style w:type="paragraph" w:styleId="Sangradetextonormal">
    <w:name w:val="Body Text Indent"/>
    <w:basedOn w:val="Normal"/>
    <w:semiHidden/>
    <w:rsid w:val="00486833"/>
    <w:pPr>
      <w:widowControl w:val="0"/>
      <w:ind w:left="708"/>
      <w:jc w:val="both"/>
    </w:pPr>
    <w:rPr>
      <w:rFonts w:ascii="Arial" w:hAnsi="Arial"/>
      <w:szCs w:val="20"/>
      <w:lang w:val="es-ES_tradnl"/>
    </w:rPr>
  </w:style>
  <w:style w:type="paragraph" w:styleId="Textoindependiente">
    <w:name w:val="Body Text"/>
    <w:basedOn w:val="Normal"/>
    <w:semiHidden/>
    <w:rsid w:val="00486833"/>
    <w:pPr>
      <w:widowControl w:val="0"/>
      <w:spacing w:after="120"/>
    </w:pPr>
    <w:rPr>
      <w:rFonts w:ascii="Arial" w:hAnsi="Arial"/>
      <w:sz w:val="20"/>
      <w:szCs w:val="20"/>
      <w:lang w:val="es-ES_tradnl"/>
    </w:rPr>
  </w:style>
  <w:style w:type="paragraph" w:styleId="Sangra2detindependiente">
    <w:name w:val="Body Text Indent 2"/>
    <w:basedOn w:val="Normal"/>
    <w:semiHidden/>
    <w:rsid w:val="00486833"/>
    <w:pPr>
      <w:widowControl w:val="0"/>
      <w:ind w:left="1416" w:hanging="708"/>
      <w:jc w:val="both"/>
    </w:pPr>
    <w:rPr>
      <w:rFonts w:ascii="Arial" w:hAnsi="Arial"/>
      <w:szCs w:val="20"/>
      <w:lang w:val="es-ES_tradnl"/>
    </w:rPr>
  </w:style>
  <w:style w:type="paragraph" w:styleId="Sangra3detindependiente">
    <w:name w:val="Body Text Indent 3"/>
    <w:basedOn w:val="Normal"/>
    <w:semiHidden/>
    <w:rsid w:val="00486833"/>
    <w:pPr>
      <w:ind w:left="1416" w:hanging="707"/>
      <w:jc w:val="both"/>
    </w:pPr>
    <w:rPr>
      <w:rFonts w:ascii="Arial" w:hAnsi="Arial"/>
      <w:szCs w:val="20"/>
      <w:lang w:val="es-ES_tradnl"/>
    </w:rPr>
  </w:style>
  <w:style w:type="paragraph" w:customStyle="1" w:styleId="toa">
    <w:name w:val="toa"/>
    <w:basedOn w:val="Normal"/>
    <w:rsid w:val="00486833"/>
    <w:pPr>
      <w:tabs>
        <w:tab w:val="left" w:pos="9000"/>
        <w:tab w:val="right" w:pos="9360"/>
      </w:tabs>
      <w:suppressAutoHyphens/>
      <w:spacing w:before="120" w:after="120"/>
      <w:jc w:val="both"/>
    </w:pPr>
    <w:rPr>
      <w:rFonts w:ascii="CG Times" w:hAnsi="CG Times"/>
      <w:szCs w:val="20"/>
      <w:lang w:val="en-US"/>
    </w:rPr>
  </w:style>
  <w:style w:type="character" w:styleId="Hipervnculo">
    <w:name w:val="Hyperlink"/>
    <w:basedOn w:val="Fuentedeprrafopredeter"/>
    <w:semiHidden/>
    <w:rsid w:val="00486833"/>
    <w:rPr>
      <w:strike w:val="0"/>
      <w:dstrike w:val="0"/>
      <w:color w:val="0000FF"/>
      <w:w w:val="0"/>
      <w:sz w:val="0"/>
      <w:szCs w:val="0"/>
      <w:u w:val="none"/>
      <w:effect w:val="none"/>
    </w:rPr>
  </w:style>
  <w:style w:type="paragraph" w:customStyle="1" w:styleId="texto24">
    <w:name w:val="texto2_4"/>
    <w:basedOn w:val="Normal"/>
    <w:rsid w:val="00486833"/>
    <w:rPr>
      <w:rFonts w:ascii="Arial" w:eastAsia="Arial Unicode MS" w:hAnsi="Arial" w:cs="Arial"/>
      <w:color w:val="666666"/>
      <w:sz w:val="18"/>
      <w:szCs w:val="18"/>
    </w:rPr>
  </w:style>
  <w:style w:type="character" w:styleId="Textoennegrita">
    <w:name w:val="Strong"/>
    <w:basedOn w:val="Fuentedeprrafopredeter"/>
    <w:qFormat/>
    <w:rsid w:val="00486833"/>
    <w:rPr>
      <w:b/>
      <w:bCs/>
    </w:rPr>
  </w:style>
  <w:style w:type="character" w:styleId="Hipervnculovisitado">
    <w:name w:val="FollowedHyperlink"/>
    <w:basedOn w:val="Fuentedeprrafopredeter"/>
    <w:semiHidden/>
    <w:rsid w:val="00486833"/>
    <w:rPr>
      <w:color w:val="800080"/>
      <w:u w:val="single"/>
    </w:rPr>
  </w:style>
  <w:style w:type="paragraph" w:styleId="Piedepgina">
    <w:name w:val="footer"/>
    <w:basedOn w:val="Normal"/>
    <w:semiHidden/>
    <w:rsid w:val="00486833"/>
    <w:pPr>
      <w:tabs>
        <w:tab w:val="center" w:pos="4252"/>
        <w:tab w:val="right" w:pos="8504"/>
      </w:tabs>
    </w:pPr>
  </w:style>
  <w:style w:type="character" w:styleId="Nmerodepgina">
    <w:name w:val="page number"/>
    <w:basedOn w:val="Fuentedeprrafopredeter"/>
    <w:semiHidden/>
    <w:rsid w:val="00486833"/>
  </w:style>
  <w:style w:type="paragraph" w:styleId="Textodeglobo">
    <w:name w:val="Balloon Text"/>
    <w:basedOn w:val="Normal"/>
    <w:semiHidden/>
    <w:rsid w:val="00486833"/>
    <w:rPr>
      <w:rFonts w:ascii="Tahoma" w:hAnsi="Tahoma" w:cs="Tahoma"/>
      <w:sz w:val="16"/>
      <w:szCs w:val="16"/>
    </w:rPr>
  </w:style>
  <w:style w:type="paragraph" w:customStyle="1" w:styleId="Normal1">
    <w:name w:val="Normal1"/>
    <w:rsid w:val="00486833"/>
    <w:pPr>
      <w:spacing w:after="120"/>
      <w:ind w:firstLine="567"/>
      <w:jc w:val="both"/>
    </w:pPr>
    <w:rPr>
      <w:rFonts w:ascii="Garamond" w:hAnsi="Garamond"/>
      <w:sz w:val="24"/>
    </w:rPr>
  </w:style>
  <w:style w:type="paragraph" w:customStyle="1" w:styleId="Texto">
    <w:name w:val="Texto"/>
    <w:basedOn w:val="Normal"/>
    <w:rsid w:val="00486833"/>
    <w:pPr>
      <w:spacing w:before="120" w:after="120"/>
      <w:jc w:val="both"/>
    </w:pPr>
    <w:rPr>
      <w:rFonts w:ascii="Arial" w:hAnsi="Arial"/>
      <w:sz w:val="22"/>
      <w:szCs w:val="20"/>
    </w:rPr>
  </w:style>
  <w:style w:type="paragraph" w:customStyle="1" w:styleId="Textoindependiente21">
    <w:name w:val="Texto independiente 21"/>
    <w:basedOn w:val="Normal"/>
    <w:rsid w:val="00486833"/>
    <w:pPr>
      <w:spacing w:before="120" w:after="120"/>
      <w:jc w:val="center"/>
    </w:pPr>
    <w:rPr>
      <w:rFonts w:ascii="TheSansCorrespondence" w:hAnsi="TheSansCorrespondence"/>
      <w:spacing w:val="4"/>
      <w:szCs w:val="20"/>
      <w:lang w:val="es-ES_tradnl"/>
    </w:rPr>
  </w:style>
  <w:style w:type="paragraph" w:styleId="Textonotapie">
    <w:name w:val="footnote text"/>
    <w:basedOn w:val="Normal"/>
    <w:semiHidden/>
    <w:rsid w:val="00486833"/>
    <w:rPr>
      <w:sz w:val="20"/>
      <w:szCs w:val="20"/>
    </w:rPr>
  </w:style>
  <w:style w:type="character" w:styleId="Refdenotaalpie">
    <w:name w:val="footnote reference"/>
    <w:basedOn w:val="Fuentedeprrafopredeter"/>
    <w:semiHidden/>
    <w:rsid w:val="00486833"/>
    <w:rPr>
      <w:vertAlign w:val="superscript"/>
    </w:rPr>
  </w:style>
  <w:style w:type="paragraph" w:customStyle="1" w:styleId="PORTADATITULO">
    <w:name w:val="PORTADA_TITULO"/>
    <w:basedOn w:val="Normal"/>
    <w:rsid w:val="00486833"/>
    <w:pPr>
      <w:framePr w:w="7938" w:hSpace="142" w:vSpace="142" w:wrap="around" w:vAnchor="page" w:hAnchor="margin" w:xAlign="center" w:y="7656" w:anchorLock="1"/>
      <w:widowControl w:val="0"/>
      <w:tabs>
        <w:tab w:val="left" w:pos="567"/>
      </w:tabs>
      <w:suppressAutoHyphens/>
      <w:spacing w:after="120"/>
      <w:jc w:val="center"/>
    </w:pPr>
    <w:rPr>
      <w:rFonts w:ascii="Tahoma" w:hAnsi="Tahoma"/>
      <w:b/>
      <w:caps/>
      <w:sz w:val="36"/>
      <w:szCs w:val="20"/>
    </w:rPr>
  </w:style>
  <w:style w:type="paragraph" w:styleId="Encabezado">
    <w:name w:val="header"/>
    <w:aliases w:val="h"/>
    <w:basedOn w:val="Normal"/>
    <w:semiHidden/>
    <w:rsid w:val="00486833"/>
    <w:pPr>
      <w:tabs>
        <w:tab w:val="center" w:pos="4252"/>
        <w:tab w:val="right" w:pos="8504"/>
      </w:tabs>
    </w:pPr>
  </w:style>
  <w:style w:type="paragraph" w:styleId="Textodebloque">
    <w:name w:val="Block Text"/>
    <w:basedOn w:val="Normal"/>
    <w:semiHidden/>
    <w:rsid w:val="00486833"/>
    <w:pPr>
      <w:tabs>
        <w:tab w:val="num" w:pos="567"/>
        <w:tab w:val="num" w:pos="720"/>
      </w:tabs>
      <w:spacing w:before="120" w:line="360" w:lineRule="auto"/>
      <w:ind w:left="360" w:right="-284"/>
      <w:jc w:val="both"/>
    </w:pPr>
    <w:rPr>
      <w:rFonts w:ascii="Arial" w:hAnsi="Arial" w:cs="Arial"/>
      <w:sz w:val="20"/>
    </w:rPr>
  </w:style>
  <w:style w:type="paragraph" w:customStyle="1" w:styleId="CM2">
    <w:name w:val="CM2"/>
    <w:basedOn w:val="Normal"/>
    <w:next w:val="Normal"/>
    <w:rsid w:val="00486833"/>
    <w:pPr>
      <w:widowControl w:val="0"/>
      <w:autoSpaceDE w:val="0"/>
      <w:autoSpaceDN w:val="0"/>
      <w:adjustRightInd w:val="0"/>
      <w:spacing w:line="276" w:lineRule="atLeast"/>
    </w:pPr>
    <w:rPr>
      <w:rFonts w:ascii="Arial" w:hAnsi="Arial"/>
    </w:rPr>
  </w:style>
  <w:style w:type="character" w:styleId="Refdecomentario">
    <w:name w:val="annotation reference"/>
    <w:basedOn w:val="Fuentedeprrafopredeter"/>
    <w:semiHidden/>
    <w:rsid w:val="00C8282D"/>
    <w:rPr>
      <w:sz w:val="16"/>
      <w:szCs w:val="16"/>
    </w:rPr>
  </w:style>
  <w:style w:type="paragraph" w:styleId="Textocomentario">
    <w:name w:val="annotation text"/>
    <w:basedOn w:val="Normal"/>
    <w:semiHidden/>
    <w:rsid w:val="00C8282D"/>
    <w:rPr>
      <w:sz w:val="20"/>
      <w:szCs w:val="20"/>
    </w:rPr>
  </w:style>
  <w:style w:type="paragraph" w:styleId="Asuntodelcomentario">
    <w:name w:val="annotation subject"/>
    <w:basedOn w:val="Textocomentario"/>
    <w:next w:val="Textocomentario"/>
    <w:semiHidden/>
    <w:rsid w:val="00C8282D"/>
    <w:rPr>
      <w:b/>
      <w:bCs/>
    </w:rPr>
  </w:style>
  <w:style w:type="paragraph" w:styleId="Prrafodelista">
    <w:name w:val="List Paragraph"/>
    <w:basedOn w:val="Normal"/>
    <w:link w:val="PrrafodelistaCar"/>
    <w:uiPriority w:val="34"/>
    <w:qFormat/>
    <w:rsid w:val="00362F6C"/>
    <w:pPr>
      <w:ind w:left="720"/>
      <w:contextualSpacing/>
    </w:pPr>
  </w:style>
  <w:style w:type="character" w:customStyle="1" w:styleId="PrrafodelistaCar">
    <w:name w:val="Párrafo de lista Car"/>
    <w:basedOn w:val="Fuentedeprrafopredeter"/>
    <w:link w:val="Prrafodelista"/>
    <w:uiPriority w:val="34"/>
    <w:rsid w:val="00477735"/>
    <w:rPr>
      <w:sz w:val="24"/>
      <w:szCs w:val="24"/>
    </w:rPr>
  </w:style>
  <w:style w:type="table" w:styleId="Tablaconcuadrcula">
    <w:name w:val="Table Grid"/>
    <w:basedOn w:val="Tablanormal"/>
    <w:uiPriority w:val="39"/>
    <w:rsid w:val="002C116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7C479-0520-4618-B26E-FF32B276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934</Words>
  <Characters>5139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CONTRATO PARA LA PRESTACIÓN DE LOS PRODUCTOS DE ACCESO Y TRANSPORTE PARA OPERADORES</vt:lpstr>
    </vt:vector>
  </TitlesOfParts>
  <Company>Telefónica de España SAU</Company>
  <LinksUpToDate>false</LinksUpToDate>
  <CharactersWithSpaces>6061</CharactersWithSpaces>
  <SharedDoc>false</SharedDoc>
  <HLinks>
    <vt:vector size="6" baseType="variant">
      <vt:variant>
        <vt:i4>2883589</vt:i4>
      </vt:variant>
      <vt:variant>
        <vt:i4>0</vt:i4>
      </vt:variant>
      <vt:variant>
        <vt:i4>0</vt:i4>
      </vt:variant>
      <vt:variant>
        <vt:i4>5</vt:i4>
      </vt:variant>
      <vt:variant>
        <vt:lpwstr>http://www.bde.es/infoest/d0102.pdf_blank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PARA LA PRESTACIÓN DE LOS PRODUCTOS DE ACCESO Y TRANSPORTE PARA OPERADORES</dc:title>
  <dc:creator>Héctor Lozano Guadalajara</dc:creator>
  <cp:lastModifiedBy>Ayuso Arias, Javier</cp:lastModifiedBy>
  <cp:revision>5</cp:revision>
  <cp:lastPrinted>2012-06-13T15:15:00Z</cp:lastPrinted>
  <dcterms:created xsi:type="dcterms:W3CDTF">2022-02-28T08:49:00Z</dcterms:created>
  <dcterms:modified xsi:type="dcterms:W3CDTF">2022-02-28T08:54:00Z</dcterms:modified>
</cp:coreProperties>
</file>