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9E" w:rsidRDefault="00983E9E">
      <w:pPr>
        <w:spacing w:before="4" w:after="0" w:line="100" w:lineRule="exact"/>
        <w:rPr>
          <w:sz w:val="10"/>
          <w:szCs w:val="10"/>
        </w:rPr>
      </w:pPr>
    </w:p>
    <w:p w:rsidR="00983E9E" w:rsidRDefault="004A5AFC" w:rsidP="0074356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14:anchorId="487A001C" wp14:editId="487A001D">
            <wp:extent cx="3053300" cy="2861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438" cy="286385"/>
                    </a:xfrm>
                    <a:prstGeom prst="rect">
                      <a:avLst/>
                    </a:prstGeom>
                    <a:noFill/>
                  </pic:spPr>
                </pic:pic>
              </a:graphicData>
            </a:graphic>
          </wp:inline>
        </w:drawing>
      </w:r>
    </w:p>
    <w:p w:rsidR="00983E9E" w:rsidRDefault="00983E9E">
      <w:pPr>
        <w:spacing w:before="1" w:after="0" w:line="100" w:lineRule="exact"/>
        <w:rPr>
          <w:sz w:val="10"/>
          <w:szCs w:val="10"/>
        </w:rPr>
      </w:pPr>
    </w:p>
    <w:p w:rsidR="00522C95" w:rsidRDefault="00522C95" w:rsidP="0098317C">
      <w:pPr>
        <w:spacing w:before="37" w:after="0" w:line="240" w:lineRule="auto"/>
        <w:ind w:right="-20"/>
        <w:rPr>
          <w:rFonts w:ascii="Arial" w:eastAsia="Arial" w:hAnsi="Arial" w:cs="Arial"/>
          <w:spacing w:val="-1"/>
          <w:sz w:val="18"/>
          <w:szCs w:val="18"/>
          <w:lang w:val="es-ES"/>
        </w:rPr>
      </w:pPr>
    </w:p>
    <w:p w:rsidR="008B6B4F" w:rsidRDefault="008B6B4F" w:rsidP="0098317C">
      <w:pPr>
        <w:spacing w:before="37" w:after="0" w:line="240" w:lineRule="auto"/>
        <w:ind w:right="-20"/>
        <w:rPr>
          <w:rFonts w:ascii="Arial" w:eastAsia="Arial" w:hAnsi="Arial" w:cs="Arial"/>
          <w:spacing w:val="-1"/>
          <w:sz w:val="18"/>
          <w:szCs w:val="18"/>
          <w:lang w:val="es-ES"/>
        </w:rPr>
      </w:pPr>
    </w:p>
    <w:p w:rsidR="00FD08E3" w:rsidRPr="00FD08E3" w:rsidRDefault="00ED2C82" w:rsidP="00B526C6">
      <w:pPr>
        <w:spacing w:line="240" w:lineRule="auto"/>
        <w:rPr>
          <w:rFonts w:ascii="Arial" w:hAnsi="Arial" w:cs="Arial"/>
          <w:color w:val="808080" w:themeColor="background1" w:themeShade="80"/>
          <w:sz w:val="24"/>
          <w:szCs w:val="24"/>
          <w:lang w:val="es-ES"/>
        </w:rPr>
      </w:pPr>
      <w:r w:rsidRPr="00723829">
        <w:rPr>
          <w:rFonts w:ascii="Arial" w:hAnsi="Arial" w:cs="Arial"/>
          <w:b/>
          <w:color w:val="808080" w:themeColor="background1" w:themeShade="80"/>
          <w:sz w:val="24"/>
          <w:szCs w:val="24"/>
          <w:u w:val="single"/>
          <w:lang w:val="es-ES"/>
        </w:rPr>
        <w:t>NOTA DE PRENSA</w:t>
      </w:r>
    </w:p>
    <w:p w:rsidR="00BB71E9" w:rsidRPr="00525DE8" w:rsidRDefault="00BB71E9" w:rsidP="00BB71E9">
      <w:pPr>
        <w:spacing w:after="0" w:line="240" w:lineRule="auto"/>
        <w:jc w:val="both"/>
        <w:rPr>
          <w:rFonts w:ascii="Arial" w:hAnsi="Arial" w:cs="Arial"/>
          <w:b/>
          <w:sz w:val="24"/>
          <w:szCs w:val="24"/>
          <w:lang w:val="es-ES"/>
        </w:rPr>
      </w:pPr>
      <w:r w:rsidRPr="00525DE8">
        <w:rPr>
          <w:rFonts w:ascii="Arial" w:hAnsi="Arial" w:cs="Arial"/>
          <w:b/>
          <w:sz w:val="24"/>
          <w:szCs w:val="24"/>
          <w:lang w:val="es-ES"/>
        </w:rPr>
        <w:t xml:space="preserve">La </w:t>
      </w:r>
      <w:r w:rsidR="00B526C6">
        <w:rPr>
          <w:rFonts w:ascii="Arial" w:hAnsi="Arial" w:cs="Arial"/>
          <w:b/>
          <w:sz w:val="24"/>
          <w:szCs w:val="24"/>
          <w:lang w:val="es-ES"/>
        </w:rPr>
        <w:t xml:space="preserve">CNMC requiere a los Ayuntamientos de Córdoba y Málaga </w:t>
      </w:r>
      <w:r w:rsidR="00F315D1">
        <w:rPr>
          <w:rFonts w:ascii="Arial" w:hAnsi="Arial" w:cs="Arial"/>
          <w:b/>
          <w:sz w:val="24"/>
          <w:szCs w:val="24"/>
          <w:lang w:val="es-ES"/>
        </w:rPr>
        <w:t>que supriman</w:t>
      </w:r>
      <w:r w:rsidR="00B526C6">
        <w:rPr>
          <w:rFonts w:ascii="Arial" w:hAnsi="Arial" w:cs="Arial"/>
          <w:b/>
          <w:sz w:val="24"/>
          <w:szCs w:val="24"/>
          <w:lang w:val="es-ES"/>
        </w:rPr>
        <w:t xml:space="preserve"> o </w:t>
      </w:r>
      <w:r w:rsidR="009B1B43">
        <w:rPr>
          <w:rFonts w:ascii="Arial" w:hAnsi="Arial" w:cs="Arial"/>
          <w:b/>
          <w:sz w:val="24"/>
          <w:szCs w:val="24"/>
          <w:lang w:val="es-ES"/>
        </w:rPr>
        <w:t xml:space="preserve">modifiquen </w:t>
      </w:r>
      <w:r w:rsidR="00230F54">
        <w:rPr>
          <w:rFonts w:ascii="Arial" w:hAnsi="Arial" w:cs="Arial"/>
          <w:b/>
          <w:sz w:val="24"/>
          <w:szCs w:val="24"/>
          <w:lang w:val="es-ES"/>
        </w:rPr>
        <w:t xml:space="preserve">distintos artículos </w:t>
      </w:r>
      <w:r w:rsidR="00B526C6">
        <w:rPr>
          <w:rFonts w:ascii="Arial" w:hAnsi="Arial" w:cs="Arial"/>
          <w:b/>
          <w:sz w:val="24"/>
          <w:szCs w:val="24"/>
          <w:lang w:val="es-ES"/>
        </w:rPr>
        <w:t>de sus ordenanzas del taxi</w:t>
      </w:r>
    </w:p>
    <w:p w:rsidR="00BB71E9" w:rsidRPr="00525DE8" w:rsidRDefault="00BB71E9" w:rsidP="00BB71E9">
      <w:pPr>
        <w:spacing w:after="0" w:line="240" w:lineRule="auto"/>
        <w:jc w:val="both"/>
        <w:rPr>
          <w:rFonts w:ascii="Arial" w:hAnsi="Arial" w:cs="Arial"/>
          <w:b/>
          <w:sz w:val="24"/>
          <w:szCs w:val="24"/>
          <w:lang w:val="es-ES"/>
        </w:rPr>
      </w:pPr>
    </w:p>
    <w:p w:rsidR="00B526C6" w:rsidRPr="00911BDB" w:rsidRDefault="00B526C6" w:rsidP="00911BDB">
      <w:pPr>
        <w:pStyle w:val="Prrafodelista"/>
        <w:numPr>
          <w:ilvl w:val="0"/>
          <w:numId w:val="15"/>
        </w:numPr>
        <w:spacing w:after="0" w:line="240" w:lineRule="auto"/>
        <w:contextualSpacing w:val="0"/>
        <w:jc w:val="both"/>
        <w:rPr>
          <w:rFonts w:ascii="Arial" w:hAnsi="Arial" w:cs="Arial"/>
          <w:b/>
          <w:sz w:val="24"/>
          <w:szCs w:val="24"/>
          <w:lang w:val="es-ES"/>
        </w:rPr>
      </w:pPr>
      <w:r w:rsidRPr="00911BDB">
        <w:rPr>
          <w:rFonts w:ascii="Arial" w:hAnsi="Arial" w:cs="Arial"/>
          <w:bCs/>
          <w:sz w:val="24"/>
          <w:szCs w:val="24"/>
          <w:lang w:val="es-ES"/>
        </w:rPr>
        <w:t>F</w:t>
      </w:r>
      <w:r w:rsidR="00561BF4" w:rsidRPr="00911BDB">
        <w:rPr>
          <w:rFonts w:ascii="Arial" w:eastAsia="Times New Roman" w:hAnsi="Arial" w:cs="Arial"/>
          <w:sz w:val="24"/>
          <w:szCs w:val="24"/>
          <w:lang w:val="es-ES" w:eastAsia="es-ES"/>
        </w:rPr>
        <w:t xml:space="preserve">ormula </w:t>
      </w:r>
      <w:r w:rsidRPr="00911BDB">
        <w:rPr>
          <w:rFonts w:ascii="Arial" w:eastAsia="Times New Roman" w:hAnsi="Arial" w:cs="Arial"/>
          <w:sz w:val="24"/>
          <w:szCs w:val="24"/>
          <w:lang w:val="es-ES" w:eastAsia="es-ES"/>
        </w:rPr>
        <w:t xml:space="preserve">un </w:t>
      </w:r>
      <w:r w:rsidR="00561BF4" w:rsidRPr="00911BDB">
        <w:rPr>
          <w:rFonts w:ascii="Arial" w:eastAsia="Times New Roman" w:hAnsi="Arial" w:cs="Arial"/>
          <w:sz w:val="24"/>
          <w:szCs w:val="24"/>
          <w:lang w:val="es-ES" w:eastAsia="es-ES"/>
        </w:rPr>
        <w:t>requerimiento previo a</w:t>
      </w:r>
      <w:r w:rsidRPr="00911BDB">
        <w:rPr>
          <w:rFonts w:ascii="Arial" w:eastAsia="Times New Roman" w:hAnsi="Arial" w:cs="Arial"/>
          <w:sz w:val="24"/>
          <w:szCs w:val="24"/>
          <w:lang w:val="es-ES" w:eastAsia="es-ES"/>
        </w:rPr>
        <w:t xml:space="preserve"> ambos </w:t>
      </w:r>
      <w:r w:rsidR="00F315D1">
        <w:rPr>
          <w:rFonts w:ascii="Arial" w:eastAsia="Times New Roman" w:hAnsi="Arial" w:cs="Arial"/>
          <w:sz w:val="24"/>
          <w:szCs w:val="24"/>
          <w:lang w:val="es-ES" w:eastAsia="es-ES"/>
        </w:rPr>
        <w:t>consistorios</w:t>
      </w:r>
      <w:r w:rsidRPr="00911BDB">
        <w:rPr>
          <w:rFonts w:ascii="Arial" w:eastAsia="Times New Roman" w:hAnsi="Arial" w:cs="Arial"/>
          <w:sz w:val="24"/>
          <w:szCs w:val="24"/>
          <w:lang w:val="es-ES" w:eastAsia="es-ES"/>
        </w:rPr>
        <w:t xml:space="preserve"> </w:t>
      </w:r>
      <w:r w:rsidR="00911BDB">
        <w:rPr>
          <w:rFonts w:ascii="Arial" w:eastAsia="Times New Roman" w:hAnsi="Arial" w:cs="Arial"/>
          <w:sz w:val="24"/>
          <w:szCs w:val="24"/>
          <w:lang w:val="es-ES" w:eastAsia="es-ES"/>
        </w:rPr>
        <w:t xml:space="preserve">para evitar </w:t>
      </w:r>
      <w:r w:rsidRPr="00911BDB">
        <w:rPr>
          <w:rFonts w:ascii="Arial" w:eastAsia="Times New Roman" w:hAnsi="Arial" w:cs="Arial"/>
          <w:sz w:val="24"/>
          <w:szCs w:val="24"/>
          <w:lang w:val="es-ES" w:eastAsia="es-ES"/>
        </w:rPr>
        <w:t>interponer un</w:t>
      </w:r>
      <w:r w:rsidR="00561BF4" w:rsidRPr="00911BDB">
        <w:rPr>
          <w:rFonts w:ascii="Arial" w:eastAsia="Times New Roman" w:hAnsi="Arial" w:cs="Arial"/>
          <w:sz w:val="24"/>
          <w:szCs w:val="24"/>
          <w:lang w:val="es-ES" w:eastAsia="es-ES"/>
        </w:rPr>
        <w:t xml:space="preserve"> recurso contencioso-administrativo</w:t>
      </w:r>
      <w:r w:rsidR="00911BDB">
        <w:rPr>
          <w:rFonts w:ascii="Arial" w:eastAsia="Times New Roman" w:hAnsi="Arial" w:cs="Arial"/>
          <w:sz w:val="24"/>
          <w:szCs w:val="24"/>
          <w:lang w:val="es-ES" w:eastAsia="es-ES"/>
        </w:rPr>
        <w:t xml:space="preserve"> en el Tribunal Superior de Justicia de Andalucí</w:t>
      </w:r>
      <w:bookmarkStart w:id="0" w:name="_GoBack"/>
      <w:bookmarkEnd w:id="0"/>
      <w:r w:rsidR="00911BDB">
        <w:rPr>
          <w:rFonts w:ascii="Arial" w:eastAsia="Times New Roman" w:hAnsi="Arial" w:cs="Arial"/>
          <w:sz w:val="24"/>
          <w:szCs w:val="24"/>
          <w:lang w:val="es-ES" w:eastAsia="es-ES"/>
        </w:rPr>
        <w:t>a.</w:t>
      </w:r>
    </w:p>
    <w:p w:rsidR="00B526C6" w:rsidRPr="00B526C6" w:rsidRDefault="00B526C6" w:rsidP="00B526C6">
      <w:pPr>
        <w:pStyle w:val="Prrafodelista"/>
        <w:spacing w:after="0" w:line="240" w:lineRule="auto"/>
        <w:contextualSpacing w:val="0"/>
        <w:jc w:val="both"/>
        <w:rPr>
          <w:rFonts w:ascii="Arial" w:hAnsi="Arial" w:cs="Arial"/>
          <w:b/>
          <w:sz w:val="24"/>
          <w:szCs w:val="24"/>
          <w:lang w:val="es-ES"/>
        </w:rPr>
      </w:pPr>
    </w:p>
    <w:p w:rsidR="00B526C6" w:rsidRPr="00911BDB" w:rsidRDefault="00F315D1" w:rsidP="005A4084">
      <w:pPr>
        <w:pStyle w:val="Prrafodelista"/>
        <w:numPr>
          <w:ilvl w:val="0"/>
          <w:numId w:val="15"/>
        </w:numPr>
        <w:spacing w:after="0" w:line="240" w:lineRule="auto"/>
        <w:contextualSpacing w:val="0"/>
        <w:jc w:val="both"/>
        <w:rPr>
          <w:rFonts w:ascii="Arial" w:hAnsi="Arial" w:cs="Arial"/>
          <w:b/>
          <w:sz w:val="24"/>
          <w:szCs w:val="24"/>
          <w:lang w:val="es-ES"/>
        </w:rPr>
      </w:pPr>
      <w:r>
        <w:rPr>
          <w:rFonts w:ascii="Arial" w:hAnsi="Arial" w:cs="Arial"/>
          <w:bCs/>
          <w:sz w:val="24"/>
          <w:szCs w:val="24"/>
          <w:lang w:val="es-ES"/>
        </w:rPr>
        <w:t>Las</w:t>
      </w:r>
      <w:r w:rsidR="00561BF4" w:rsidRPr="00911BDB">
        <w:rPr>
          <w:rFonts w:ascii="Arial" w:hAnsi="Arial" w:cs="Arial"/>
          <w:bCs/>
          <w:sz w:val="24"/>
          <w:szCs w:val="24"/>
          <w:lang w:val="es-ES"/>
        </w:rPr>
        <w:t xml:space="preserve"> normas contienen </w:t>
      </w:r>
      <w:r w:rsidR="00B526C6" w:rsidRPr="00911BDB">
        <w:rPr>
          <w:rFonts w:ascii="Arial" w:hAnsi="Arial" w:cs="Arial"/>
          <w:bCs/>
          <w:sz w:val="24"/>
          <w:szCs w:val="24"/>
          <w:lang w:val="es-ES"/>
        </w:rPr>
        <w:t>artí</w:t>
      </w:r>
      <w:r w:rsidR="00314986" w:rsidRPr="00911BDB">
        <w:rPr>
          <w:rFonts w:ascii="Arial" w:hAnsi="Arial" w:cs="Arial"/>
          <w:bCs/>
          <w:sz w:val="24"/>
          <w:szCs w:val="24"/>
          <w:lang w:val="es-ES"/>
        </w:rPr>
        <w:t>culos que restrig</w:t>
      </w:r>
      <w:r w:rsidR="00B526C6" w:rsidRPr="00911BDB">
        <w:rPr>
          <w:rFonts w:ascii="Arial" w:hAnsi="Arial" w:cs="Arial"/>
          <w:bCs/>
          <w:sz w:val="24"/>
          <w:szCs w:val="24"/>
          <w:lang w:val="es-ES"/>
        </w:rPr>
        <w:t>e</w:t>
      </w:r>
      <w:r w:rsidR="00314986" w:rsidRPr="00911BDB">
        <w:rPr>
          <w:rFonts w:ascii="Arial" w:hAnsi="Arial" w:cs="Arial"/>
          <w:bCs/>
          <w:sz w:val="24"/>
          <w:szCs w:val="24"/>
          <w:lang w:val="es-ES"/>
        </w:rPr>
        <w:t>n</w:t>
      </w:r>
      <w:r w:rsidR="00561BF4" w:rsidRPr="00911BDB">
        <w:rPr>
          <w:rFonts w:ascii="Arial" w:hAnsi="Arial" w:cs="Arial"/>
          <w:bCs/>
          <w:sz w:val="24"/>
          <w:szCs w:val="24"/>
          <w:lang w:val="es-ES"/>
        </w:rPr>
        <w:t xml:space="preserve"> </w:t>
      </w:r>
      <w:r w:rsidR="00E65E17" w:rsidRPr="00911BDB">
        <w:rPr>
          <w:rFonts w:ascii="Arial" w:hAnsi="Arial" w:cs="Arial"/>
          <w:bCs/>
          <w:sz w:val="24"/>
          <w:szCs w:val="24"/>
          <w:lang w:val="es-ES"/>
        </w:rPr>
        <w:t>la competencia efectiva en el mercado del taxi</w:t>
      </w:r>
      <w:r w:rsidR="00911BDB">
        <w:rPr>
          <w:rFonts w:ascii="Arial" w:hAnsi="Arial" w:cs="Arial"/>
          <w:bCs/>
          <w:sz w:val="24"/>
          <w:szCs w:val="24"/>
          <w:lang w:val="es-ES"/>
        </w:rPr>
        <w:t>.</w:t>
      </w:r>
    </w:p>
    <w:p w:rsidR="00911BDB" w:rsidRPr="00911BDB" w:rsidRDefault="00911BDB" w:rsidP="00911BDB">
      <w:pPr>
        <w:spacing w:after="0" w:line="240" w:lineRule="auto"/>
        <w:ind w:left="360"/>
        <w:jc w:val="both"/>
        <w:rPr>
          <w:rFonts w:ascii="Arial" w:hAnsi="Arial" w:cs="Arial"/>
          <w:b/>
          <w:sz w:val="24"/>
          <w:szCs w:val="24"/>
          <w:lang w:val="es-ES"/>
        </w:rPr>
      </w:pPr>
    </w:p>
    <w:p w:rsidR="00561BF4" w:rsidRPr="00B526C6" w:rsidRDefault="00B526C6" w:rsidP="00B40439">
      <w:pPr>
        <w:pStyle w:val="Prrafodelista"/>
        <w:numPr>
          <w:ilvl w:val="0"/>
          <w:numId w:val="15"/>
        </w:numPr>
        <w:spacing w:after="0" w:line="240" w:lineRule="auto"/>
        <w:contextualSpacing w:val="0"/>
        <w:jc w:val="both"/>
        <w:rPr>
          <w:rFonts w:ascii="Arial" w:hAnsi="Arial" w:cs="Arial"/>
          <w:b/>
          <w:sz w:val="24"/>
          <w:szCs w:val="24"/>
          <w:lang w:val="es-ES"/>
        </w:rPr>
      </w:pPr>
      <w:r>
        <w:rPr>
          <w:rFonts w:ascii="Arial" w:hAnsi="Arial" w:cs="Arial"/>
          <w:bCs/>
          <w:sz w:val="24"/>
          <w:szCs w:val="24"/>
          <w:lang w:val="es-ES"/>
        </w:rPr>
        <w:t xml:space="preserve">La CNMC considera </w:t>
      </w:r>
      <w:r w:rsidR="000C4C76">
        <w:rPr>
          <w:rFonts w:ascii="Arial" w:hAnsi="Arial" w:cs="Arial"/>
          <w:bCs/>
          <w:sz w:val="24"/>
          <w:szCs w:val="24"/>
          <w:lang w:val="es-ES"/>
        </w:rPr>
        <w:t xml:space="preserve">que </w:t>
      </w:r>
      <w:r w:rsidR="002D5B12" w:rsidRPr="00B526C6">
        <w:rPr>
          <w:rFonts w:ascii="Arial" w:hAnsi="Arial" w:cs="Arial"/>
          <w:bCs/>
          <w:sz w:val="24"/>
          <w:szCs w:val="24"/>
          <w:lang w:val="es-ES"/>
        </w:rPr>
        <w:t>perjudica</w:t>
      </w:r>
      <w:r w:rsidR="009B1B43">
        <w:rPr>
          <w:rFonts w:ascii="Arial" w:hAnsi="Arial" w:cs="Arial"/>
          <w:bCs/>
          <w:sz w:val="24"/>
          <w:szCs w:val="24"/>
          <w:lang w:val="es-ES"/>
        </w:rPr>
        <w:t>n</w:t>
      </w:r>
      <w:r w:rsidR="002D5B12" w:rsidRPr="00B526C6">
        <w:rPr>
          <w:rFonts w:ascii="Arial" w:hAnsi="Arial" w:cs="Arial"/>
          <w:bCs/>
          <w:sz w:val="24"/>
          <w:szCs w:val="24"/>
          <w:lang w:val="es-ES"/>
        </w:rPr>
        <w:t xml:space="preserve"> a los consumidores</w:t>
      </w:r>
      <w:r w:rsidR="00494313">
        <w:rPr>
          <w:rFonts w:ascii="Arial" w:hAnsi="Arial" w:cs="Arial"/>
          <w:bCs/>
          <w:sz w:val="24"/>
          <w:szCs w:val="24"/>
          <w:lang w:val="es-ES"/>
        </w:rPr>
        <w:t>, excluyen a nuevos entrantes</w:t>
      </w:r>
      <w:r w:rsidR="000C4C76">
        <w:rPr>
          <w:rFonts w:ascii="Arial" w:hAnsi="Arial" w:cs="Arial"/>
          <w:bCs/>
          <w:sz w:val="24"/>
          <w:szCs w:val="24"/>
          <w:lang w:val="es-ES"/>
        </w:rPr>
        <w:t xml:space="preserve"> y</w:t>
      </w:r>
      <w:r w:rsidR="002D5B12" w:rsidRPr="00B526C6">
        <w:rPr>
          <w:rFonts w:ascii="Arial" w:hAnsi="Arial" w:cs="Arial"/>
          <w:bCs/>
          <w:sz w:val="24"/>
          <w:szCs w:val="24"/>
          <w:lang w:val="es-ES"/>
        </w:rPr>
        <w:t xml:space="preserve"> </w:t>
      </w:r>
      <w:r w:rsidR="00767D9D" w:rsidRPr="00B526C6">
        <w:rPr>
          <w:rFonts w:ascii="Arial" w:hAnsi="Arial" w:cs="Arial"/>
          <w:bCs/>
          <w:sz w:val="24"/>
          <w:szCs w:val="24"/>
          <w:lang w:val="es-ES"/>
        </w:rPr>
        <w:t>reduce</w:t>
      </w:r>
      <w:r w:rsidR="009B1B43">
        <w:rPr>
          <w:rFonts w:ascii="Arial" w:hAnsi="Arial" w:cs="Arial"/>
          <w:bCs/>
          <w:sz w:val="24"/>
          <w:szCs w:val="24"/>
          <w:lang w:val="es-ES"/>
        </w:rPr>
        <w:t>n</w:t>
      </w:r>
      <w:r w:rsidR="00CA554D" w:rsidRPr="00B526C6">
        <w:rPr>
          <w:rFonts w:ascii="Arial" w:hAnsi="Arial" w:cs="Arial"/>
          <w:bCs/>
          <w:sz w:val="24"/>
          <w:szCs w:val="24"/>
          <w:lang w:val="es-ES"/>
        </w:rPr>
        <w:t xml:space="preserve"> la capacidad </w:t>
      </w:r>
      <w:r w:rsidR="00767D9D" w:rsidRPr="00B526C6">
        <w:rPr>
          <w:rFonts w:ascii="Arial" w:hAnsi="Arial" w:cs="Arial"/>
          <w:bCs/>
          <w:sz w:val="24"/>
          <w:szCs w:val="24"/>
          <w:lang w:val="es-ES"/>
        </w:rPr>
        <w:t>de</w:t>
      </w:r>
      <w:r w:rsidR="00CA554D" w:rsidRPr="00B526C6">
        <w:rPr>
          <w:rFonts w:ascii="Arial" w:hAnsi="Arial" w:cs="Arial"/>
          <w:bCs/>
          <w:sz w:val="24"/>
          <w:szCs w:val="24"/>
          <w:lang w:val="es-ES"/>
        </w:rPr>
        <w:t xml:space="preserve"> los operadores instalados </w:t>
      </w:r>
      <w:r>
        <w:rPr>
          <w:rFonts w:ascii="Arial" w:hAnsi="Arial" w:cs="Arial"/>
          <w:bCs/>
          <w:sz w:val="24"/>
          <w:szCs w:val="24"/>
          <w:lang w:val="es-ES"/>
        </w:rPr>
        <w:t>de</w:t>
      </w:r>
      <w:r w:rsidRPr="00B526C6">
        <w:rPr>
          <w:rFonts w:ascii="Arial" w:hAnsi="Arial" w:cs="Arial"/>
          <w:bCs/>
          <w:sz w:val="24"/>
          <w:szCs w:val="24"/>
          <w:lang w:val="es-ES"/>
        </w:rPr>
        <w:t xml:space="preserve"> </w:t>
      </w:r>
      <w:r w:rsidR="00CA554D" w:rsidRPr="00B526C6">
        <w:rPr>
          <w:rFonts w:ascii="Arial" w:hAnsi="Arial" w:cs="Arial"/>
          <w:bCs/>
          <w:sz w:val="24"/>
          <w:szCs w:val="24"/>
          <w:lang w:val="es-ES"/>
        </w:rPr>
        <w:t>adaptarse y competir</w:t>
      </w:r>
      <w:r w:rsidR="002D5B12" w:rsidRPr="00B526C6">
        <w:rPr>
          <w:rFonts w:ascii="Arial" w:hAnsi="Arial" w:cs="Arial"/>
          <w:bCs/>
          <w:sz w:val="24"/>
          <w:szCs w:val="24"/>
          <w:lang w:val="es-ES"/>
        </w:rPr>
        <w:t xml:space="preserve"> con los nuevos modelos de economía colaborativa</w:t>
      </w:r>
      <w:r w:rsidR="008E0486" w:rsidRPr="00B526C6">
        <w:rPr>
          <w:rFonts w:ascii="Arial" w:hAnsi="Arial" w:cs="Arial"/>
          <w:bCs/>
          <w:sz w:val="24"/>
          <w:szCs w:val="24"/>
          <w:lang w:val="es-ES"/>
        </w:rPr>
        <w:t xml:space="preserve">. </w:t>
      </w:r>
    </w:p>
    <w:p w:rsidR="00BB71E9" w:rsidRPr="00525DE8" w:rsidRDefault="00BB71E9" w:rsidP="00BB71E9">
      <w:pPr>
        <w:spacing w:after="0" w:line="240" w:lineRule="auto"/>
        <w:jc w:val="both"/>
        <w:rPr>
          <w:rFonts w:ascii="Arial" w:hAnsi="Arial" w:cs="Arial"/>
          <w:b/>
          <w:sz w:val="24"/>
          <w:szCs w:val="24"/>
          <w:lang w:val="es-ES"/>
        </w:rPr>
      </w:pPr>
    </w:p>
    <w:p w:rsidR="00F315D1" w:rsidRDefault="00BB71E9" w:rsidP="00E65E17">
      <w:pPr>
        <w:spacing w:after="0" w:line="240" w:lineRule="auto"/>
        <w:jc w:val="both"/>
        <w:rPr>
          <w:rFonts w:ascii="Arial" w:eastAsia="Times New Roman" w:hAnsi="Arial" w:cs="Arial"/>
          <w:sz w:val="24"/>
          <w:szCs w:val="24"/>
          <w:lang w:val="es-ES" w:eastAsia="es-ES"/>
        </w:rPr>
      </w:pPr>
      <w:r w:rsidRPr="00525DE8">
        <w:rPr>
          <w:rFonts w:ascii="Arial" w:hAnsi="Arial" w:cs="Arial"/>
          <w:b/>
          <w:sz w:val="24"/>
          <w:szCs w:val="24"/>
          <w:lang w:val="es-ES"/>
        </w:rPr>
        <w:t>Madrid</w:t>
      </w:r>
      <w:r w:rsidRPr="007A1321">
        <w:rPr>
          <w:rFonts w:ascii="Arial" w:hAnsi="Arial" w:cs="Arial"/>
          <w:b/>
          <w:sz w:val="24"/>
          <w:szCs w:val="24"/>
          <w:lang w:val="es-ES"/>
        </w:rPr>
        <w:t xml:space="preserve">, </w:t>
      </w:r>
      <w:r w:rsidR="00241900" w:rsidRPr="007A1321">
        <w:rPr>
          <w:rFonts w:ascii="Arial" w:hAnsi="Arial" w:cs="Arial"/>
          <w:b/>
          <w:sz w:val="24"/>
          <w:szCs w:val="24"/>
          <w:lang w:val="es-ES"/>
        </w:rPr>
        <w:t>4</w:t>
      </w:r>
      <w:r w:rsidR="00F315D1" w:rsidRPr="007A1321">
        <w:rPr>
          <w:rFonts w:ascii="Arial" w:hAnsi="Arial" w:cs="Arial"/>
          <w:b/>
          <w:sz w:val="24"/>
          <w:szCs w:val="24"/>
          <w:lang w:val="es-ES"/>
        </w:rPr>
        <w:t xml:space="preserve"> de</w:t>
      </w:r>
      <w:r w:rsidRPr="007A1321">
        <w:rPr>
          <w:rFonts w:ascii="Arial" w:hAnsi="Arial" w:cs="Arial"/>
          <w:b/>
          <w:sz w:val="24"/>
          <w:szCs w:val="24"/>
          <w:lang w:val="es-ES"/>
        </w:rPr>
        <w:t xml:space="preserve"> </w:t>
      </w:r>
      <w:r w:rsidR="00561BF4" w:rsidRPr="007A1321">
        <w:rPr>
          <w:rFonts w:ascii="Arial" w:hAnsi="Arial" w:cs="Arial"/>
          <w:b/>
          <w:sz w:val="24"/>
          <w:szCs w:val="24"/>
          <w:lang w:val="es-ES"/>
        </w:rPr>
        <w:t>septiembre</w:t>
      </w:r>
      <w:r w:rsidRPr="007A1321">
        <w:rPr>
          <w:rFonts w:ascii="Arial" w:hAnsi="Arial" w:cs="Arial"/>
          <w:b/>
          <w:sz w:val="24"/>
          <w:szCs w:val="24"/>
          <w:lang w:val="es-ES"/>
        </w:rPr>
        <w:t xml:space="preserve"> de 201</w:t>
      </w:r>
      <w:r w:rsidR="002B6FB5" w:rsidRPr="007A1321">
        <w:rPr>
          <w:rFonts w:ascii="Arial" w:hAnsi="Arial" w:cs="Arial"/>
          <w:b/>
          <w:sz w:val="24"/>
          <w:szCs w:val="24"/>
          <w:lang w:val="es-ES"/>
        </w:rPr>
        <w:t>5</w:t>
      </w:r>
      <w:r w:rsidRPr="007A1321">
        <w:rPr>
          <w:rFonts w:ascii="Arial" w:hAnsi="Arial" w:cs="Arial"/>
          <w:sz w:val="24"/>
          <w:szCs w:val="24"/>
          <w:lang w:val="es-ES"/>
        </w:rPr>
        <w:t>.-</w:t>
      </w:r>
      <w:r w:rsidR="00BA2247" w:rsidRPr="007A1321">
        <w:rPr>
          <w:rFonts w:ascii="Arial" w:hAnsi="Arial" w:cs="Arial"/>
          <w:sz w:val="24"/>
          <w:szCs w:val="24"/>
          <w:lang w:val="es-ES"/>
        </w:rPr>
        <w:t xml:space="preserve"> </w:t>
      </w:r>
      <w:r w:rsidR="00B526C6" w:rsidRPr="007A1321">
        <w:rPr>
          <w:rFonts w:ascii="Arial" w:hAnsi="Arial" w:cs="Arial"/>
          <w:sz w:val="24"/>
          <w:szCs w:val="24"/>
          <w:lang w:val="es-ES"/>
        </w:rPr>
        <w:t>El</w:t>
      </w:r>
      <w:r w:rsidR="00B526C6">
        <w:rPr>
          <w:rFonts w:ascii="Arial" w:hAnsi="Arial" w:cs="Arial"/>
          <w:sz w:val="24"/>
          <w:szCs w:val="24"/>
          <w:lang w:val="es-ES"/>
        </w:rPr>
        <w:t xml:space="preserve"> pasado 23 de julio, la CNMC </w:t>
      </w:r>
      <w:r w:rsidR="00E65E17">
        <w:rPr>
          <w:rFonts w:ascii="Arial" w:hAnsi="Arial" w:cs="Arial"/>
          <w:sz w:val="24"/>
          <w:szCs w:val="24"/>
          <w:lang w:val="es-ES"/>
        </w:rPr>
        <w:t xml:space="preserve">notificó a los ayuntamientos de Córdoba y Málaga sendos requerimientos </w:t>
      </w:r>
      <w:r w:rsidR="00F653E6">
        <w:rPr>
          <w:rFonts w:ascii="Arial" w:hAnsi="Arial" w:cs="Arial"/>
          <w:sz w:val="24"/>
          <w:szCs w:val="24"/>
          <w:lang w:val="es-ES"/>
        </w:rPr>
        <w:t>de anulación</w:t>
      </w:r>
      <w:r w:rsidR="00B526C6">
        <w:rPr>
          <w:rFonts w:ascii="Arial" w:hAnsi="Arial" w:cs="Arial"/>
          <w:sz w:val="24"/>
          <w:szCs w:val="24"/>
          <w:lang w:val="es-ES"/>
        </w:rPr>
        <w:t xml:space="preserve"> </w:t>
      </w:r>
      <w:r w:rsidR="00B526C6" w:rsidRPr="00A55011">
        <w:rPr>
          <w:rFonts w:ascii="Arial" w:eastAsia="Times New Roman" w:hAnsi="Arial" w:cs="Arial"/>
          <w:sz w:val="24"/>
          <w:szCs w:val="24"/>
          <w:lang w:val="es-ES" w:eastAsia="es-ES"/>
        </w:rPr>
        <w:t xml:space="preserve">contra </w:t>
      </w:r>
      <w:r w:rsidR="00230F54">
        <w:rPr>
          <w:rFonts w:ascii="Arial" w:eastAsia="Times New Roman" w:hAnsi="Arial" w:cs="Arial"/>
          <w:sz w:val="24"/>
          <w:szCs w:val="24"/>
          <w:lang w:val="es-ES" w:eastAsia="es-ES"/>
        </w:rPr>
        <w:t xml:space="preserve">diversos artículos de </w:t>
      </w:r>
      <w:r w:rsidR="00B526C6" w:rsidRPr="00A55011">
        <w:rPr>
          <w:rFonts w:ascii="Arial" w:eastAsia="Times New Roman" w:hAnsi="Arial" w:cs="Arial"/>
          <w:sz w:val="24"/>
          <w:szCs w:val="24"/>
          <w:lang w:val="es-ES" w:eastAsia="es-ES"/>
        </w:rPr>
        <w:t>las ordenanzas municipales del servicio del taxi</w:t>
      </w:r>
      <w:r w:rsidR="009B1B43">
        <w:rPr>
          <w:rFonts w:ascii="Arial" w:eastAsia="Times New Roman" w:hAnsi="Arial" w:cs="Arial"/>
          <w:sz w:val="24"/>
          <w:szCs w:val="24"/>
          <w:lang w:val="es-ES" w:eastAsia="es-ES"/>
        </w:rPr>
        <w:t>,</w:t>
      </w:r>
      <w:r w:rsidR="00B526C6" w:rsidRPr="00A55011">
        <w:rPr>
          <w:rFonts w:ascii="Arial" w:eastAsia="Times New Roman" w:hAnsi="Arial" w:cs="Arial"/>
          <w:sz w:val="24"/>
          <w:szCs w:val="24"/>
          <w:lang w:val="es-ES" w:eastAsia="es-ES"/>
        </w:rPr>
        <w:t xml:space="preserve"> publicadas respectivamente el 25 de mayo y el 9 de junio de 2015 en los correspondientes boletines provinciales.</w:t>
      </w:r>
      <w:r w:rsidR="00B526C6">
        <w:rPr>
          <w:rFonts w:ascii="Arial" w:eastAsia="Times New Roman" w:hAnsi="Arial" w:cs="Arial"/>
          <w:sz w:val="24"/>
          <w:szCs w:val="24"/>
          <w:lang w:val="es-ES" w:eastAsia="es-ES"/>
        </w:rPr>
        <w:t xml:space="preserve"> </w:t>
      </w:r>
    </w:p>
    <w:p w:rsidR="00F315D1" w:rsidRDefault="00F315D1" w:rsidP="00E65E17">
      <w:pPr>
        <w:spacing w:after="0" w:line="240" w:lineRule="auto"/>
        <w:jc w:val="both"/>
        <w:rPr>
          <w:rFonts w:ascii="Arial" w:eastAsia="Times New Roman" w:hAnsi="Arial" w:cs="Arial"/>
          <w:sz w:val="24"/>
          <w:szCs w:val="24"/>
          <w:lang w:val="es-ES" w:eastAsia="es-ES"/>
        </w:rPr>
      </w:pPr>
    </w:p>
    <w:p w:rsidR="000C4C76" w:rsidRDefault="00B526C6" w:rsidP="00E65E1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Estos requerimientos de anulación son un paso previo</w:t>
      </w:r>
      <w:r w:rsidR="002D2F50">
        <w:rPr>
          <w:rFonts w:ascii="Arial" w:eastAsia="Times New Roman" w:hAnsi="Arial" w:cs="Arial"/>
          <w:sz w:val="24"/>
          <w:szCs w:val="24"/>
          <w:lang w:val="es-ES" w:eastAsia="es-ES"/>
        </w:rPr>
        <w:t xml:space="preserve"> que busca evitar</w:t>
      </w:r>
      <w:r w:rsidR="00E65E17">
        <w:rPr>
          <w:rFonts w:ascii="Arial" w:hAnsi="Arial" w:cs="Arial"/>
          <w:sz w:val="24"/>
          <w:szCs w:val="24"/>
          <w:lang w:val="es-ES"/>
        </w:rPr>
        <w:t xml:space="preserve"> la interposición</w:t>
      </w:r>
      <w:r w:rsidR="009B1B43">
        <w:rPr>
          <w:rFonts w:ascii="Arial" w:hAnsi="Arial" w:cs="Arial"/>
          <w:sz w:val="24"/>
          <w:szCs w:val="24"/>
          <w:lang w:val="es-ES"/>
        </w:rPr>
        <w:t xml:space="preserve"> de un </w:t>
      </w:r>
      <w:r w:rsidR="009B1B43" w:rsidRPr="00E65E17">
        <w:rPr>
          <w:rFonts w:ascii="Arial" w:hAnsi="Arial" w:cs="Arial"/>
          <w:sz w:val="24"/>
          <w:szCs w:val="24"/>
          <w:lang w:val="es-ES"/>
        </w:rPr>
        <w:t>recurso contencioso-administrativo</w:t>
      </w:r>
      <w:r w:rsidR="009B1B43">
        <w:rPr>
          <w:rFonts w:ascii="Arial" w:hAnsi="Arial" w:cs="Arial"/>
          <w:sz w:val="24"/>
          <w:szCs w:val="24"/>
          <w:lang w:val="es-ES"/>
        </w:rPr>
        <w:t xml:space="preserve"> ante </w:t>
      </w:r>
      <w:r w:rsidR="00911BDB">
        <w:rPr>
          <w:rFonts w:ascii="Arial" w:eastAsia="Times New Roman" w:hAnsi="Arial" w:cs="Arial"/>
          <w:sz w:val="24"/>
          <w:szCs w:val="24"/>
          <w:lang w:val="es-ES" w:eastAsia="es-ES"/>
        </w:rPr>
        <w:t>el Tribunal Superior de Justicia de Andalucía</w:t>
      </w:r>
      <w:r w:rsidR="009B1B43">
        <w:rPr>
          <w:rFonts w:ascii="Arial" w:hAnsi="Arial" w:cs="Arial"/>
          <w:sz w:val="24"/>
          <w:szCs w:val="24"/>
          <w:lang w:val="es-ES"/>
        </w:rPr>
        <w:t xml:space="preserve">, </w:t>
      </w:r>
      <w:r w:rsidR="009B1B43">
        <w:rPr>
          <w:rFonts w:ascii="Arial" w:eastAsia="Times New Roman" w:hAnsi="Arial" w:cs="Arial"/>
          <w:sz w:val="24"/>
          <w:szCs w:val="24"/>
          <w:lang w:val="es-ES" w:eastAsia="es-ES"/>
        </w:rPr>
        <w:t>en el caso de que ambos consistorios no modifique</w:t>
      </w:r>
      <w:r w:rsidR="000C4C76">
        <w:rPr>
          <w:rFonts w:ascii="Arial" w:eastAsia="Times New Roman" w:hAnsi="Arial" w:cs="Arial"/>
          <w:sz w:val="24"/>
          <w:szCs w:val="24"/>
          <w:lang w:val="es-ES" w:eastAsia="es-ES"/>
        </w:rPr>
        <w:t>n</w:t>
      </w:r>
      <w:r w:rsidR="009B1B43">
        <w:rPr>
          <w:rFonts w:ascii="Arial" w:eastAsia="Times New Roman" w:hAnsi="Arial" w:cs="Arial"/>
          <w:sz w:val="24"/>
          <w:szCs w:val="24"/>
          <w:lang w:val="es-ES" w:eastAsia="es-ES"/>
        </w:rPr>
        <w:t xml:space="preserve"> o anulen las citadas </w:t>
      </w:r>
      <w:r w:rsidR="00230F54">
        <w:rPr>
          <w:rFonts w:ascii="Arial" w:eastAsia="Times New Roman" w:hAnsi="Arial" w:cs="Arial"/>
          <w:sz w:val="24"/>
          <w:szCs w:val="24"/>
          <w:lang w:val="es-ES" w:eastAsia="es-ES"/>
        </w:rPr>
        <w:t xml:space="preserve">restricciones introducidas en </w:t>
      </w:r>
      <w:r w:rsidR="009B1B43">
        <w:rPr>
          <w:rFonts w:ascii="Arial" w:eastAsia="Times New Roman" w:hAnsi="Arial" w:cs="Arial"/>
          <w:sz w:val="24"/>
          <w:szCs w:val="24"/>
          <w:lang w:val="es-ES" w:eastAsia="es-ES"/>
        </w:rPr>
        <w:t>el sector del taxi</w:t>
      </w:r>
      <w:r w:rsidR="002D2F50">
        <w:rPr>
          <w:rFonts w:ascii="Arial" w:eastAsia="Times New Roman" w:hAnsi="Arial" w:cs="Arial"/>
          <w:sz w:val="24"/>
          <w:szCs w:val="24"/>
          <w:lang w:val="es-ES" w:eastAsia="es-ES"/>
        </w:rPr>
        <w:t>.</w:t>
      </w:r>
    </w:p>
    <w:p w:rsidR="001C1F50" w:rsidRDefault="001C1F50" w:rsidP="00E65E17">
      <w:pPr>
        <w:spacing w:after="0" w:line="240" w:lineRule="auto"/>
        <w:jc w:val="both"/>
        <w:rPr>
          <w:rFonts w:ascii="Arial" w:eastAsia="Times New Roman" w:hAnsi="Arial" w:cs="Arial"/>
          <w:sz w:val="24"/>
          <w:szCs w:val="24"/>
          <w:lang w:val="es-ES" w:eastAsia="es-ES"/>
        </w:rPr>
      </w:pPr>
    </w:p>
    <w:p w:rsidR="0061022D" w:rsidRDefault="00F1064C" w:rsidP="00911BDB">
      <w:pPr>
        <w:spacing w:after="0" w:line="240" w:lineRule="auto"/>
        <w:jc w:val="both"/>
        <w:rPr>
          <w:rFonts w:ascii="Arial" w:hAnsi="Arial" w:cs="Arial"/>
          <w:sz w:val="24"/>
          <w:szCs w:val="24"/>
          <w:lang w:val="es-ES"/>
        </w:rPr>
      </w:pPr>
      <w:r>
        <w:rPr>
          <w:rFonts w:ascii="Arial" w:hAnsi="Arial" w:cs="Arial"/>
          <w:sz w:val="24"/>
          <w:szCs w:val="24"/>
          <w:lang w:val="es-ES"/>
        </w:rPr>
        <w:t>L</w:t>
      </w:r>
      <w:r w:rsidR="00E65E17" w:rsidRPr="00E65E17">
        <w:rPr>
          <w:rFonts w:ascii="Arial" w:hAnsi="Arial" w:cs="Arial"/>
          <w:sz w:val="24"/>
          <w:szCs w:val="24"/>
          <w:lang w:val="es-ES"/>
        </w:rPr>
        <w:t>a CNMC está legitimada para impugnar los actos de las Administraciones Públicas sujetos al Derecho administrativo y las disposiciones de rango inferior a la ley de los que se deriven obstáculos al mantenimiento de una competencia efectiva en los mercados.</w:t>
      </w:r>
    </w:p>
    <w:p w:rsidR="00F653E6" w:rsidRDefault="00F653E6" w:rsidP="001C1F50">
      <w:pPr>
        <w:spacing w:after="0" w:line="240" w:lineRule="auto"/>
        <w:ind w:left="-142"/>
        <w:jc w:val="both"/>
        <w:rPr>
          <w:rFonts w:ascii="Arial" w:hAnsi="Arial" w:cs="Arial"/>
          <w:sz w:val="24"/>
          <w:szCs w:val="24"/>
          <w:lang w:val="es-ES"/>
        </w:rPr>
      </w:pPr>
    </w:p>
    <w:p w:rsidR="00F315D1" w:rsidRDefault="00BE16EE" w:rsidP="00314986">
      <w:pPr>
        <w:widowControl/>
        <w:spacing w:after="0" w:line="240" w:lineRule="auto"/>
        <w:jc w:val="both"/>
        <w:rPr>
          <w:rFonts w:ascii="Arial" w:eastAsia="Corbel" w:hAnsi="Arial" w:cs="Arial"/>
          <w:sz w:val="24"/>
          <w:szCs w:val="24"/>
          <w:lang w:val="es-ES"/>
        </w:rPr>
      </w:pPr>
      <w:r w:rsidRPr="00BE16EE">
        <w:rPr>
          <w:rFonts w:ascii="Arial" w:eastAsia="Corbel" w:hAnsi="Arial" w:cs="Arial"/>
          <w:sz w:val="24"/>
          <w:szCs w:val="24"/>
          <w:lang w:val="es-ES"/>
        </w:rPr>
        <w:t>E</w:t>
      </w:r>
      <w:r w:rsidR="00F315D1">
        <w:rPr>
          <w:rFonts w:ascii="Arial" w:eastAsia="Corbel" w:hAnsi="Arial" w:cs="Arial"/>
          <w:sz w:val="24"/>
          <w:szCs w:val="24"/>
          <w:lang w:val="es-ES"/>
        </w:rPr>
        <w:t>n e</w:t>
      </w:r>
      <w:r w:rsidRPr="00BE16EE">
        <w:rPr>
          <w:rFonts w:ascii="Arial" w:eastAsia="Corbel" w:hAnsi="Arial" w:cs="Arial"/>
          <w:sz w:val="24"/>
          <w:szCs w:val="24"/>
          <w:lang w:val="es-ES"/>
        </w:rPr>
        <w:t xml:space="preserve">l análisis de </w:t>
      </w:r>
      <w:r>
        <w:rPr>
          <w:rFonts w:ascii="Arial" w:eastAsia="Corbel" w:hAnsi="Arial" w:cs="Arial"/>
          <w:sz w:val="24"/>
          <w:szCs w:val="24"/>
          <w:lang w:val="es-ES"/>
        </w:rPr>
        <w:t>ambas</w:t>
      </w:r>
      <w:r w:rsidRPr="00BE16EE">
        <w:rPr>
          <w:rFonts w:ascii="Arial" w:eastAsia="Corbel" w:hAnsi="Arial" w:cs="Arial"/>
          <w:sz w:val="24"/>
          <w:szCs w:val="24"/>
          <w:lang w:val="es-ES"/>
        </w:rPr>
        <w:t xml:space="preserve"> Ordenanza</w:t>
      </w:r>
      <w:r>
        <w:rPr>
          <w:rFonts w:ascii="Arial" w:eastAsia="Corbel" w:hAnsi="Arial" w:cs="Arial"/>
          <w:sz w:val="24"/>
          <w:szCs w:val="24"/>
          <w:lang w:val="es-ES"/>
        </w:rPr>
        <w:t>s</w:t>
      </w:r>
      <w:r w:rsidR="009B1B43">
        <w:rPr>
          <w:rFonts w:ascii="Arial" w:eastAsia="Corbel" w:hAnsi="Arial" w:cs="Arial"/>
          <w:sz w:val="24"/>
          <w:szCs w:val="24"/>
          <w:lang w:val="es-ES"/>
        </w:rPr>
        <w:t xml:space="preserve"> que la CNMC ha realizado</w:t>
      </w:r>
      <w:r w:rsidR="00314986">
        <w:rPr>
          <w:rFonts w:ascii="Arial" w:eastAsia="Corbel" w:hAnsi="Arial" w:cs="Arial"/>
          <w:sz w:val="24"/>
          <w:szCs w:val="24"/>
          <w:lang w:val="es-ES"/>
        </w:rPr>
        <w:t>, conforme a</w:t>
      </w:r>
      <w:r w:rsidRPr="00BE16EE">
        <w:rPr>
          <w:rFonts w:ascii="Arial" w:eastAsia="Corbel" w:hAnsi="Arial" w:cs="Arial"/>
          <w:sz w:val="24"/>
          <w:szCs w:val="24"/>
          <w:lang w:val="es-ES"/>
        </w:rPr>
        <w:t xml:space="preserve"> la normativa de competencia y </w:t>
      </w:r>
      <w:r w:rsidR="000C4C76">
        <w:rPr>
          <w:rFonts w:ascii="Arial" w:eastAsia="Corbel" w:hAnsi="Arial" w:cs="Arial"/>
          <w:sz w:val="24"/>
          <w:szCs w:val="24"/>
          <w:lang w:val="es-ES"/>
        </w:rPr>
        <w:t>a</w:t>
      </w:r>
      <w:r w:rsidR="000C4C76" w:rsidRPr="00BE16EE">
        <w:rPr>
          <w:rFonts w:ascii="Arial" w:eastAsia="Corbel" w:hAnsi="Arial" w:cs="Arial"/>
          <w:sz w:val="24"/>
          <w:szCs w:val="24"/>
          <w:lang w:val="es-ES"/>
        </w:rPr>
        <w:t xml:space="preserve"> </w:t>
      </w:r>
      <w:r w:rsidRPr="00BE16EE">
        <w:rPr>
          <w:rFonts w:ascii="Arial" w:eastAsia="Corbel" w:hAnsi="Arial" w:cs="Arial"/>
          <w:sz w:val="24"/>
          <w:szCs w:val="24"/>
          <w:lang w:val="es-ES"/>
        </w:rPr>
        <w:t xml:space="preserve">los principios de regulación </w:t>
      </w:r>
      <w:r w:rsidR="00F1064C">
        <w:rPr>
          <w:rFonts w:ascii="Arial" w:eastAsia="Corbel" w:hAnsi="Arial" w:cs="Arial"/>
          <w:sz w:val="24"/>
          <w:szCs w:val="24"/>
          <w:lang w:val="es-ES"/>
        </w:rPr>
        <w:t>económica eficiente</w:t>
      </w:r>
      <w:r w:rsidRPr="00BE16EE">
        <w:rPr>
          <w:rFonts w:ascii="Arial" w:eastAsia="Corbel" w:hAnsi="Arial" w:cs="Arial"/>
          <w:sz w:val="24"/>
          <w:szCs w:val="24"/>
          <w:lang w:val="es-ES"/>
        </w:rPr>
        <w:t xml:space="preserve">, </w:t>
      </w:r>
      <w:r w:rsidR="009B1B43">
        <w:rPr>
          <w:rFonts w:ascii="Arial" w:eastAsia="Corbel" w:hAnsi="Arial" w:cs="Arial"/>
          <w:sz w:val="24"/>
          <w:szCs w:val="24"/>
          <w:lang w:val="es-ES"/>
        </w:rPr>
        <w:t xml:space="preserve">ha detectado </w:t>
      </w:r>
      <w:r w:rsidRPr="00BE16EE">
        <w:rPr>
          <w:rFonts w:ascii="Arial" w:eastAsia="Corbel" w:hAnsi="Arial" w:cs="Arial"/>
          <w:sz w:val="24"/>
          <w:szCs w:val="24"/>
          <w:lang w:val="es-ES"/>
        </w:rPr>
        <w:t xml:space="preserve">severos obstáculos a la competencia efectiva en el mercado. </w:t>
      </w:r>
    </w:p>
    <w:p w:rsidR="00F315D1" w:rsidRDefault="00F315D1" w:rsidP="00314986">
      <w:pPr>
        <w:widowControl/>
        <w:spacing w:after="0" w:line="240" w:lineRule="auto"/>
        <w:jc w:val="both"/>
        <w:rPr>
          <w:rFonts w:ascii="Arial" w:eastAsia="Corbel" w:hAnsi="Arial" w:cs="Arial"/>
          <w:sz w:val="24"/>
          <w:szCs w:val="24"/>
          <w:lang w:val="es-ES"/>
        </w:rPr>
      </w:pPr>
    </w:p>
    <w:p w:rsidR="00314986" w:rsidRPr="00BE16EE" w:rsidRDefault="009B1B43" w:rsidP="00314986">
      <w:pPr>
        <w:widowControl/>
        <w:spacing w:after="0" w:line="240" w:lineRule="auto"/>
        <w:jc w:val="both"/>
        <w:rPr>
          <w:rFonts w:ascii="Arial" w:eastAsia="Corbel" w:hAnsi="Arial" w:cs="Arial"/>
          <w:sz w:val="24"/>
          <w:szCs w:val="24"/>
          <w:lang w:val="es-ES"/>
        </w:rPr>
      </w:pPr>
      <w:r>
        <w:rPr>
          <w:rFonts w:ascii="Arial" w:eastAsia="Corbel" w:hAnsi="Arial" w:cs="Arial"/>
          <w:sz w:val="24"/>
          <w:szCs w:val="24"/>
          <w:lang w:val="es-ES"/>
        </w:rPr>
        <w:t>En concreto, la Comisión señala cinco categorías distintas de impedimentos:</w:t>
      </w:r>
      <w:r w:rsidR="00314986" w:rsidRPr="00BE16EE">
        <w:rPr>
          <w:rFonts w:ascii="Arial" w:eastAsia="Corbel" w:hAnsi="Arial" w:cs="Arial"/>
          <w:sz w:val="24"/>
          <w:szCs w:val="24"/>
          <w:lang w:val="es-ES"/>
        </w:rPr>
        <w:t xml:space="preserve"> </w:t>
      </w:r>
    </w:p>
    <w:p w:rsidR="00BE16EE" w:rsidRPr="00BE16EE" w:rsidRDefault="00BE16EE" w:rsidP="00BE16EE">
      <w:pPr>
        <w:widowControl/>
        <w:spacing w:after="0" w:line="240" w:lineRule="auto"/>
        <w:ind w:left="-142"/>
        <w:jc w:val="both"/>
        <w:rPr>
          <w:rFonts w:ascii="Arial" w:eastAsia="Corbel" w:hAnsi="Arial" w:cs="Arial"/>
          <w:sz w:val="24"/>
          <w:szCs w:val="24"/>
          <w:lang w:val="es-ES"/>
        </w:rPr>
      </w:pPr>
    </w:p>
    <w:p w:rsidR="00BE16EE" w:rsidRDefault="00314986" w:rsidP="00F1064C">
      <w:pPr>
        <w:widowControl/>
        <w:numPr>
          <w:ilvl w:val="0"/>
          <w:numId w:val="20"/>
        </w:numPr>
        <w:spacing w:after="0" w:line="240" w:lineRule="auto"/>
        <w:jc w:val="both"/>
        <w:rPr>
          <w:rFonts w:ascii="Arial" w:eastAsia="Corbel" w:hAnsi="Arial" w:cs="Arial"/>
          <w:sz w:val="24"/>
          <w:szCs w:val="24"/>
          <w:lang w:val="es-ES"/>
        </w:rPr>
      </w:pPr>
      <w:r>
        <w:rPr>
          <w:rFonts w:ascii="Arial" w:eastAsia="Corbel" w:hAnsi="Arial" w:cs="Arial"/>
          <w:sz w:val="24"/>
          <w:szCs w:val="24"/>
          <w:lang w:val="es-ES"/>
        </w:rPr>
        <w:t>Se establece</w:t>
      </w:r>
      <w:r w:rsidR="00BE16EE" w:rsidRPr="00BE16EE">
        <w:rPr>
          <w:rFonts w:ascii="Arial" w:eastAsia="Corbel" w:hAnsi="Arial" w:cs="Arial"/>
          <w:sz w:val="24"/>
          <w:szCs w:val="24"/>
          <w:lang w:val="es-ES"/>
        </w:rPr>
        <w:t xml:space="preserve"> un </w:t>
      </w:r>
      <w:r w:rsidR="00BE16EE" w:rsidRPr="00BE16EE">
        <w:rPr>
          <w:rFonts w:ascii="Arial" w:eastAsia="Corbel" w:hAnsi="Arial" w:cs="Arial"/>
          <w:i/>
          <w:sz w:val="24"/>
          <w:szCs w:val="24"/>
          <w:lang w:val="es-ES"/>
        </w:rPr>
        <w:t>numerus clausus</w:t>
      </w:r>
      <w:r w:rsidR="00BE16EE" w:rsidRPr="00BE16EE">
        <w:rPr>
          <w:rFonts w:ascii="Arial" w:eastAsia="Corbel" w:hAnsi="Arial" w:cs="Arial"/>
          <w:sz w:val="24"/>
          <w:szCs w:val="24"/>
          <w:lang w:val="es-ES"/>
        </w:rPr>
        <w:t xml:space="preserve"> de licencias de taxi</w:t>
      </w:r>
      <w:r w:rsidR="00F315D1">
        <w:rPr>
          <w:rFonts w:ascii="Arial" w:eastAsia="Corbel" w:hAnsi="Arial" w:cs="Arial"/>
          <w:sz w:val="24"/>
          <w:szCs w:val="24"/>
          <w:lang w:val="es-ES"/>
        </w:rPr>
        <w:t>,</w:t>
      </w:r>
      <w:r w:rsidR="00BE16EE" w:rsidRPr="00BE16EE">
        <w:rPr>
          <w:rFonts w:ascii="Arial" w:eastAsia="Corbel" w:hAnsi="Arial" w:cs="Arial"/>
          <w:sz w:val="24"/>
          <w:szCs w:val="24"/>
          <w:lang w:val="es-ES"/>
        </w:rPr>
        <w:t xml:space="preserve"> </w:t>
      </w:r>
      <w:r w:rsidR="00B526C6">
        <w:rPr>
          <w:rFonts w:ascii="Arial" w:eastAsia="Corbel" w:hAnsi="Arial" w:cs="Arial"/>
          <w:sz w:val="24"/>
          <w:szCs w:val="24"/>
          <w:lang w:val="es-ES"/>
        </w:rPr>
        <w:t>según</w:t>
      </w:r>
      <w:r w:rsidR="00F315D1">
        <w:rPr>
          <w:rFonts w:ascii="Arial" w:eastAsia="Corbel" w:hAnsi="Arial" w:cs="Arial"/>
          <w:sz w:val="24"/>
          <w:szCs w:val="24"/>
          <w:lang w:val="es-ES"/>
        </w:rPr>
        <w:t xml:space="preserve"> </w:t>
      </w:r>
      <w:r w:rsidR="00BE16EE" w:rsidRPr="00BE16EE">
        <w:rPr>
          <w:rFonts w:ascii="Arial" w:eastAsia="Corbel" w:hAnsi="Arial" w:cs="Arial"/>
          <w:sz w:val="24"/>
          <w:szCs w:val="24"/>
          <w:lang w:val="es-ES"/>
        </w:rPr>
        <w:t>criterios de planificación económica</w:t>
      </w:r>
      <w:r w:rsidR="009B1B43">
        <w:rPr>
          <w:rFonts w:ascii="Arial" w:eastAsia="Corbel" w:hAnsi="Arial" w:cs="Arial"/>
          <w:sz w:val="24"/>
          <w:szCs w:val="24"/>
          <w:lang w:val="es-ES"/>
        </w:rPr>
        <w:t>,</w:t>
      </w:r>
      <w:r w:rsidR="00BE16EE" w:rsidRPr="00BE16EE">
        <w:rPr>
          <w:rFonts w:ascii="Arial" w:eastAsia="Corbel" w:hAnsi="Arial" w:cs="Arial"/>
          <w:sz w:val="24"/>
          <w:szCs w:val="24"/>
          <w:lang w:val="es-ES"/>
        </w:rPr>
        <w:t xml:space="preserve"> tales como la garantía de la suficiente rentabilidad o el uso racional de las infraestructuras</w:t>
      </w:r>
      <w:r w:rsidR="00BE16EE">
        <w:rPr>
          <w:rFonts w:ascii="Arial" w:eastAsia="Corbel" w:hAnsi="Arial" w:cs="Arial"/>
          <w:sz w:val="24"/>
          <w:szCs w:val="24"/>
          <w:lang w:val="es-ES"/>
        </w:rPr>
        <w:t>.</w:t>
      </w:r>
    </w:p>
    <w:p w:rsidR="00B526C6" w:rsidRPr="00BE16EE" w:rsidRDefault="00B526C6" w:rsidP="00911BDB">
      <w:pPr>
        <w:widowControl/>
        <w:spacing w:after="0" w:line="240" w:lineRule="auto"/>
        <w:jc w:val="both"/>
        <w:rPr>
          <w:rFonts w:ascii="Arial" w:eastAsia="Corbel" w:hAnsi="Arial" w:cs="Arial"/>
          <w:sz w:val="24"/>
          <w:szCs w:val="24"/>
          <w:lang w:val="es-ES"/>
        </w:rPr>
      </w:pPr>
    </w:p>
    <w:p w:rsidR="009B1B43" w:rsidRPr="00911BDB" w:rsidRDefault="00314986" w:rsidP="009B1B43">
      <w:pPr>
        <w:widowControl/>
        <w:numPr>
          <w:ilvl w:val="0"/>
          <w:numId w:val="20"/>
        </w:numPr>
        <w:spacing w:after="0" w:line="240" w:lineRule="auto"/>
        <w:jc w:val="both"/>
        <w:rPr>
          <w:rFonts w:ascii="Arial" w:eastAsia="Corbel" w:hAnsi="Arial" w:cs="Arial"/>
          <w:sz w:val="24"/>
          <w:szCs w:val="24"/>
          <w:lang w:val="es-ES"/>
        </w:rPr>
      </w:pPr>
      <w:r w:rsidRPr="009B1B43">
        <w:rPr>
          <w:rFonts w:ascii="Arial" w:eastAsia="Corbel" w:hAnsi="Arial" w:cs="Arial"/>
          <w:sz w:val="24"/>
          <w:szCs w:val="24"/>
          <w:lang w:val="es-ES"/>
        </w:rPr>
        <w:t xml:space="preserve">Se limitan </w:t>
      </w:r>
      <w:r w:rsidR="00BE16EE" w:rsidRPr="009B1B43">
        <w:rPr>
          <w:rFonts w:ascii="Arial" w:eastAsia="Corbel" w:hAnsi="Arial" w:cs="Arial"/>
          <w:sz w:val="24"/>
          <w:szCs w:val="24"/>
          <w:lang w:val="es-ES"/>
        </w:rPr>
        <w:t>injustificada</w:t>
      </w:r>
      <w:r w:rsidRPr="009B1B43">
        <w:rPr>
          <w:rFonts w:ascii="Arial" w:eastAsia="Corbel" w:hAnsi="Arial" w:cs="Arial"/>
          <w:sz w:val="24"/>
          <w:szCs w:val="24"/>
          <w:lang w:val="es-ES"/>
        </w:rPr>
        <w:t>mente</w:t>
      </w:r>
      <w:r w:rsidR="00BE16EE" w:rsidRPr="009B1B43">
        <w:rPr>
          <w:rFonts w:ascii="Arial" w:eastAsia="Corbel" w:hAnsi="Arial" w:cs="Arial"/>
          <w:sz w:val="24"/>
          <w:szCs w:val="24"/>
          <w:lang w:val="es-ES"/>
        </w:rPr>
        <w:t xml:space="preserve"> las potestades </w:t>
      </w:r>
      <w:r w:rsidR="00B526C6" w:rsidRPr="009B1B43">
        <w:rPr>
          <w:rFonts w:ascii="Arial" w:eastAsia="Corbel" w:hAnsi="Arial" w:cs="Arial"/>
          <w:sz w:val="24"/>
          <w:szCs w:val="24"/>
          <w:lang w:val="es-ES"/>
        </w:rPr>
        <w:t>de organización</w:t>
      </w:r>
      <w:r w:rsidR="00BE16EE" w:rsidRPr="009B1B43">
        <w:rPr>
          <w:rFonts w:ascii="Arial" w:eastAsia="Corbel" w:hAnsi="Arial" w:cs="Arial"/>
          <w:sz w:val="24"/>
          <w:szCs w:val="24"/>
          <w:lang w:val="es-ES"/>
        </w:rPr>
        <w:t xml:space="preserve"> de los operadores, </w:t>
      </w:r>
      <w:r w:rsidRPr="009B1B43">
        <w:rPr>
          <w:rFonts w:ascii="Arial" w:eastAsia="Corbel" w:hAnsi="Arial" w:cs="Arial"/>
          <w:sz w:val="24"/>
          <w:szCs w:val="24"/>
          <w:lang w:val="es-ES"/>
        </w:rPr>
        <w:t xml:space="preserve">ya que se imponen </w:t>
      </w:r>
      <w:r w:rsidR="00BE16EE" w:rsidRPr="009B1B43">
        <w:rPr>
          <w:rFonts w:ascii="Arial" w:eastAsia="Corbel" w:hAnsi="Arial" w:cs="Arial"/>
          <w:sz w:val="24"/>
          <w:szCs w:val="24"/>
          <w:lang w:val="es-ES"/>
        </w:rPr>
        <w:t>requisitos como</w:t>
      </w:r>
      <w:r w:rsidR="00BE16EE" w:rsidRPr="009B1B43">
        <w:rPr>
          <w:rFonts w:ascii="Arial" w:eastAsia="Arial" w:hAnsi="Arial" w:cs="Arial"/>
          <w:i/>
          <w:sz w:val="24"/>
          <w:szCs w:val="24"/>
          <w:lang w:val="es-ES"/>
        </w:rPr>
        <w:t xml:space="preserve"> </w:t>
      </w:r>
      <w:r w:rsidR="00BE16EE" w:rsidRPr="009B1B43">
        <w:rPr>
          <w:rFonts w:ascii="Arial" w:eastAsia="Arial" w:hAnsi="Arial" w:cs="Arial"/>
          <w:sz w:val="24"/>
          <w:szCs w:val="24"/>
          <w:lang w:val="es-ES"/>
        </w:rPr>
        <w:t xml:space="preserve">que el titular de la licencia sea </w:t>
      </w:r>
      <w:r w:rsidRPr="009B1B43">
        <w:rPr>
          <w:rFonts w:ascii="Arial" w:eastAsia="Arial" w:hAnsi="Arial" w:cs="Arial"/>
          <w:sz w:val="24"/>
          <w:szCs w:val="24"/>
          <w:lang w:val="es-ES"/>
        </w:rPr>
        <w:t xml:space="preserve">una </w:t>
      </w:r>
      <w:r w:rsidR="00BE16EE" w:rsidRPr="009B1B43">
        <w:rPr>
          <w:rFonts w:ascii="Arial" w:eastAsia="Arial" w:hAnsi="Arial" w:cs="Arial"/>
          <w:sz w:val="24"/>
          <w:szCs w:val="24"/>
          <w:lang w:val="es-ES"/>
        </w:rPr>
        <w:t>persona física o cooperativa de trabajo</w:t>
      </w:r>
      <w:r w:rsidRPr="009B1B43">
        <w:rPr>
          <w:rFonts w:ascii="Arial" w:eastAsia="Corbel" w:hAnsi="Arial" w:cs="Arial"/>
          <w:sz w:val="24"/>
          <w:szCs w:val="24"/>
          <w:lang w:val="es-ES"/>
        </w:rPr>
        <w:t>. Ademas, se establecen limitaciones como que solo se pueda otorgar</w:t>
      </w:r>
      <w:r w:rsidR="00BE16EE" w:rsidRPr="009B1B43">
        <w:rPr>
          <w:rFonts w:ascii="Arial" w:hAnsi="Arial" w:cs="Arial"/>
          <w:sz w:val="24"/>
          <w:szCs w:val="24"/>
          <w:lang w:val="es-ES"/>
        </w:rPr>
        <w:t xml:space="preserve"> una</w:t>
      </w:r>
      <w:r w:rsidRPr="009B1B43">
        <w:rPr>
          <w:rFonts w:ascii="Arial" w:hAnsi="Arial" w:cs="Arial"/>
          <w:sz w:val="24"/>
          <w:szCs w:val="24"/>
          <w:lang w:val="es-ES"/>
        </w:rPr>
        <w:t xml:space="preserve"> única licencia</w:t>
      </w:r>
      <w:r w:rsidR="00BE16EE" w:rsidRPr="009B1B43">
        <w:rPr>
          <w:rFonts w:ascii="Arial" w:hAnsi="Arial" w:cs="Arial"/>
          <w:sz w:val="24"/>
          <w:szCs w:val="24"/>
          <w:lang w:val="es-ES"/>
        </w:rPr>
        <w:t xml:space="preserve"> por persona física o, en el caso de las cooperativas de trabajo, una por cada uno de los miembros</w:t>
      </w:r>
      <w:r w:rsidRPr="009B1B43">
        <w:rPr>
          <w:rFonts w:ascii="Arial" w:hAnsi="Arial" w:cs="Arial"/>
          <w:sz w:val="24"/>
          <w:szCs w:val="24"/>
          <w:lang w:val="es-ES"/>
        </w:rPr>
        <w:t>. También, se limita la</w:t>
      </w:r>
      <w:r w:rsidR="00BE16EE" w:rsidRPr="009B1B43">
        <w:rPr>
          <w:rFonts w:ascii="Arial" w:hAnsi="Arial" w:cs="Arial"/>
          <w:sz w:val="24"/>
          <w:szCs w:val="24"/>
          <w:lang w:val="es-ES"/>
        </w:rPr>
        <w:t xml:space="preserve"> posibilidad</w:t>
      </w:r>
      <w:r w:rsidRPr="009B1B43">
        <w:rPr>
          <w:rFonts w:ascii="Arial" w:hAnsi="Arial" w:cs="Arial"/>
          <w:sz w:val="24"/>
          <w:szCs w:val="24"/>
          <w:lang w:val="es-ES"/>
        </w:rPr>
        <w:t xml:space="preserve"> de</w:t>
      </w:r>
      <w:r w:rsidR="00BE16EE" w:rsidRPr="009B1B43">
        <w:rPr>
          <w:rFonts w:ascii="Arial" w:hAnsi="Arial" w:cs="Arial"/>
          <w:sz w:val="24"/>
          <w:szCs w:val="24"/>
          <w:lang w:val="es-ES"/>
        </w:rPr>
        <w:t xml:space="preserve"> </w:t>
      </w:r>
      <w:r w:rsidRPr="009B1B43">
        <w:rPr>
          <w:rFonts w:ascii="Arial" w:hAnsi="Arial" w:cs="Arial"/>
          <w:sz w:val="24"/>
          <w:szCs w:val="24"/>
          <w:lang w:val="es-ES"/>
        </w:rPr>
        <w:t xml:space="preserve">que una persona distinta al titular de la licencia pueda prestar </w:t>
      </w:r>
      <w:r w:rsidRPr="009B1B43">
        <w:rPr>
          <w:rFonts w:ascii="Arial" w:hAnsi="Arial" w:cs="Arial"/>
          <w:sz w:val="24"/>
          <w:szCs w:val="24"/>
          <w:lang w:val="es-ES"/>
        </w:rPr>
        <w:lastRenderedPageBreak/>
        <w:t>el servicio</w:t>
      </w:r>
      <w:r w:rsidR="009B1B43" w:rsidRPr="009B1B43">
        <w:rPr>
          <w:rFonts w:ascii="Arial" w:hAnsi="Arial" w:cs="Arial"/>
          <w:sz w:val="24"/>
          <w:szCs w:val="24"/>
          <w:lang w:val="es-ES"/>
        </w:rPr>
        <w:t xml:space="preserve"> de taxi</w:t>
      </w:r>
      <w:r w:rsidRPr="009B1B43">
        <w:rPr>
          <w:rFonts w:ascii="Arial" w:hAnsi="Arial" w:cs="Arial"/>
          <w:sz w:val="24"/>
          <w:szCs w:val="24"/>
          <w:lang w:val="es-ES"/>
        </w:rPr>
        <w:t xml:space="preserve"> </w:t>
      </w:r>
      <w:r w:rsidR="00BE16EE" w:rsidRPr="009B1B43">
        <w:rPr>
          <w:rFonts w:ascii="Arial" w:hAnsi="Arial" w:cs="Arial"/>
          <w:sz w:val="24"/>
          <w:szCs w:val="24"/>
          <w:lang w:val="es-ES"/>
        </w:rPr>
        <w:t xml:space="preserve">o </w:t>
      </w:r>
      <w:r w:rsidR="000C4C76">
        <w:rPr>
          <w:rFonts w:ascii="Arial" w:hAnsi="Arial" w:cs="Arial"/>
          <w:sz w:val="24"/>
          <w:szCs w:val="24"/>
          <w:lang w:val="es-ES"/>
        </w:rPr>
        <w:t xml:space="preserve"> se obliga a </w:t>
      </w:r>
      <w:r w:rsidR="009B1B43" w:rsidRPr="009B1B43">
        <w:rPr>
          <w:rFonts w:ascii="Arial" w:hAnsi="Arial" w:cs="Arial"/>
          <w:sz w:val="24"/>
          <w:szCs w:val="24"/>
          <w:lang w:val="es-ES"/>
        </w:rPr>
        <w:t xml:space="preserve">que el titular de la licencia </w:t>
      </w:r>
      <w:r w:rsidR="000C4C76">
        <w:rPr>
          <w:rFonts w:ascii="Arial" w:hAnsi="Arial" w:cs="Arial"/>
          <w:sz w:val="24"/>
          <w:szCs w:val="24"/>
          <w:lang w:val="es-ES"/>
        </w:rPr>
        <w:t>tenga</w:t>
      </w:r>
      <w:r w:rsidR="009B1B43" w:rsidRPr="009B1B43">
        <w:rPr>
          <w:rFonts w:ascii="Arial" w:hAnsi="Arial" w:cs="Arial"/>
          <w:sz w:val="24"/>
          <w:szCs w:val="24"/>
          <w:lang w:val="es-ES"/>
        </w:rPr>
        <w:t xml:space="preserve"> </w:t>
      </w:r>
      <w:r w:rsidR="00BE16EE" w:rsidRPr="009B1B43">
        <w:rPr>
          <w:rFonts w:ascii="Arial" w:hAnsi="Arial" w:cs="Arial"/>
          <w:sz w:val="24"/>
          <w:szCs w:val="24"/>
          <w:lang w:val="es-ES"/>
        </w:rPr>
        <w:t xml:space="preserve">dedicación </w:t>
      </w:r>
      <w:r w:rsidR="008F17A9" w:rsidRPr="009B1B43">
        <w:rPr>
          <w:rFonts w:ascii="Arial" w:hAnsi="Arial" w:cs="Arial"/>
          <w:sz w:val="24"/>
          <w:szCs w:val="24"/>
          <w:lang w:val="es-ES"/>
        </w:rPr>
        <w:t>exclusiva</w:t>
      </w:r>
      <w:r w:rsidRPr="009B1B43">
        <w:rPr>
          <w:rFonts w:ascii="Arial" w:hAnsi="Arial" w:cs="Arial"/>
          <w:sz w:val="24"/>
          <w:szCs w:val="24"/>
          <w:lang w:val="es-ES"/>
        </w:rPr>
        <w:t xml:space="preserve"> </w:t>
      </w:r>
    </w:p>
    <w:p w:rsidR="00314986" w:rsidRPr="009B1B43" w:rsidRDefault="00314986" w:rsidP="00911BDB">
      <w:pPr>
        <w:widowControl/>
        <w:spacing w:after="0" w:line="240" w:lineRule="auto"/>
        <w:ind w:left="218"/>
        <w:jc w:val="both"/>
        <w:rPr>
          <w:rFonts w:ascii="Arial" w:eastAsia="Corbel" w:hAnsi="Arial" w:cs="Arial"/>
          <w:sz w:val="24"/>
          <w:szCs w:val="24"/>
          <w:lang w:val="es-ES"/>
        </w:rPr>
      </w:pPr>
    </w:p>
    <w:p w:rsidR="00BE16EE" w:rsidRDefault="00F315D1" w:rsidP="00F1064C">
      <w:pPr>
        <w:widowControl/>
        <w:numPr>
          <w:ilvl w:val="0"/>
          <w:numId w:val="20"/>
        </w:numPr>
        <w:spacing w:after="0" w:line="240" w:lineRule="auto"/>
        <w:jc w:val="both"/>
        <w:rPr>
          <w:rFonts w:ascii="Arial" w:eastAsia="Corbel" w:hAnsi="Arial" w:cs="Arial"/>
          <w:sz w:val="24"/>
          <w:szCs w:val="24"/>
          <w:lang w:val="es-ES"/>
        </w:rPr>
      </w:pPr>
      <w:r>
        <w:rPr>
          <w:rFonts w:ascii="Arial" w:eastAsia="Corbel" w:hAnsi="Arial" w:cs="Arial"/>
          <w:sz w:val="24"/>
          <w:szCs w:val="24"/>
          <w:lang w:val="es-ES"/>
        </w:rPr>
        <w:t xml:space="preserve">Por otra parte, </w:t>
      </w:r>
      <w:r w:rsidR="00314986">
        <w:rPr>
          <w:rFonts w:ascii="Arial" w:eastAsia="Corbel" w:hAnsi="Arial" w:cs="Arial"/>
          <w:sz w:val="24"/>
          <w:szCs w:val="24"/>
          <w:lang w:val="es-ES"/>
        </w:rPr>
        <w:t xml:space="preserve">se exigen </w:t>
      </w:r>
      <w:r w:rsidR="00BE16EE" w:rsidRPr="00BE16EE">
        <w:rPr>
          <w:rFonts w:ascii="Arial" w:eastAsia="Corbel" w:hAnsi="Arial" w:cs="Arial"/>
          <w:sz w:val="24"/>
          <w:szCs w:val="24"/>
          <w:lang w:val="es-ES"/>
        </w:rPr>
        <w:t xml:space="preserve">requisitos </w:t>
      </w:r>
      <w:r w:rsidR="00230F54">
        <w:rPr>
          <w:rFonts w:ascii="Arial" w:eastAsia="Corbel" w:hAnsi="Arial" w:cs="Arial"/>
          <w:sz w:val="24"/>
          <w:szCs w:val="24"/>
          <w:lang w:val="es-ES"/>
        </w:rPr>
        <w:t xml:space="preserve">mínimos </w:t>
      </w:r>
      <w:r w:rsidR="00BE16EE" w:rsidRPr="00BE16EE">
        <w:rPr>
          <w:rFonts w:ascii="Arial" w:eastAsia="Corbel" w:hAnsi="Arial" w:cs="Arial"/>
          <w:sz w:val="24"/>
          <w:szCs w:val="24"/>
          <w:lang w:val="es-ES"/>
        </w:rPr>
        <w:t xml:space="preserve">de calidad y seguridad </w:t>
      </w:r>
      <w:r w:rsidR="00BE16EE">
        <w:rPr>
          <w:rFonts w:ascii="Arial" w:eastAsia="Corbel" w:hAnsi="Arial" w:cs="Arial"/>
          <w:sz w:val="24"/>
          <w:szCs w:val="24"/>
          <w:lang w:val="es-ES"/>
        </w:rPr>
        <w:t>desproporcionados</w:t>
      </w:r>
      <w:r w:rsidR="008A4A77">
        <w:rPr>
          <w:rFonts w:ascii="Arial" w:eastAsia="Corbel" w:hAnsi="Arial" w:cs="Arial"/>
          <w:sz w:val="24"/>
          <w:szCs w:val="24"/>
          <w:lang w:val="es-ES"/>
        </w:rPr>
        <w:t xml:space="preserve"> o innecesarios</w:t>
      </w:r>
      <w:r w:rsidR="00BE16EE">
        <w:rPr>
          <w:rFonts w:ascii="Arial" w:eastAsia="Corbel" w:hAnsi="Arial" w:cs="Arial"/>
          <w:sz w:val="24"/>
          <w:szCs w:val="24"/>
          <w:lang w:val="es-ES"/>
        </w:rPr>
        <w:t xml:space="preserve">, tales como que el vehículo objeto de la licencia </w:t>
      </w:r>
      <w:r w:rsidR="008A4A77">
        <w:rPr>
          <w:rFonts w:ascii="Arial" w:eastAsia="Corbel" w:hAnsi="Arial" w:cs="Arial"/>
          <w:sz w:val="24"/>
          <w:szCs w:val="24"/>
          <w:lang w:val="es-ES"/>
        </w:rPr>
        <w:t>no cuente en e</w:t>
      </w:r>
      <w:r>
        <w:rPr>
          <w:rFonts w:ascii="Arial" w:eastAsia="Corbel" w:hAnsi="Arial" w:cs="Arial"/>
          <w:sz w:val="24"/>
          <w:szCs w:val="24"/>
          <w:lang w:val="es-ES"/>
        </w:rPr>
        <w:t xml:space="preserve">l momento de obtención de ésta </w:t>
      </w:r>
      <w:r w:rsidR="008A4A77">
        <w:rPr>
          <w:rFonts w:ascii="Arial" w:eastAsia="Corbel" w:hAnsi="Arial" w:cs="Arial"/>
          <w:sz w:val="24"/>
          <w:szCs w:val="24"/>
          <w:lang w:val="es-ES"/>
        </w:rPr>
        <w:t>con más</w:t>
      </w:r>
      <w:r w:rsidR="008F17A9">
        <w:rPr>
          <w:rFonts w:ascii="Arial" w:eastAsia="Corbel" w:hAnsi="Arial" w:cs="Arial"/>
          <w:sz w:val="24"/>
          <w:szCs w:val="24"/>
          <w:lang w:val="es-ES"/>
        </w:rPr>
        <w:t xml:space="preserve"> de dos años de antigüedad</w:t>
      </w:r>
      <w:r w:rsidR="008A4A77">
        <w:rPr>
          <w:rFonts w:ascii="Arial" w:eastAsia="Corbel" w:hAnsi="Arial" w:cs="Arial"/>
          <w:sz w:val="24"/>
          <w:szCs w:val="24"/>
          <w:lang w:val="es-ES"/>
        </w:rPr>
        <w:t>.</w:t>
      </w:r>
    </w:p>
    <w:p w:rsidR="00314986" w:rsidRPr="00BE16EE" w:rsidRDefault="00314986" w:rsidP="00911BDB">
      <w:pPr>
        <w:widowControl/>
        <w:spacing w:after="0" w:line="240" w:lineRule="auto"/>
        <w:jc w:val="both"/>
        <w:rPr>
          <w:rFonts w:ascii="Arial" w:eastAsia="Corbel" w:hAnsi="Arial" w:cs="Arial"/>
          <w:sz w:val="24"/>
          <w:szCs w:val="24"/>
          <w:lang w:val="es-ES"/>
        </w:rPr>
      </w:pPr>
    </w:p>
    <w:p w:rsidR="008E0486" w:rsidRPr="00911BDB" w:rsidRDefault="009B1B43" w:rsidP="00F1064C">
      <w:pPr>
        <w:widowControl/>
        <w:numPr>
          <w:ilvl w:val="0"/>
          <w:numId w:val="20"/>
        </w:numPr>
        <w:spacing w:after="0" w:line="240" w:lineRule="auto"/>
        <w:jc w:val="both"/>
        <w:rPr>
          <w:rFonts w:ascii="Arial" w:eastAsia="Corbel" w:hAnsi="Arial" w:cs="Arial"/>
          <w:sz w:val="24"/>
          <w:szCs w:val="24"/>
          <w:lang w:val="es-ES"/>
        </w:rPr>
      </w:pPr>
      <w:r>
        <w:rPr>
          <w:rFonts w:ascii="Arial" w:eastAsia="Corbel" w:hAnsi="Arial" w:cs="Arial"/>
          <w:sz w:val="24"/>
          <w:szCs w:val="24"/>
          <w:lang w:val="es-ES"/>
        </w:rPr>
        <w:t>En las Ordenanzas además, s</w:t>
      </w:r>
      <w:r w:rsidR="00314986">
        <w:rPr>
          <w:rFonts w:ascii="Arial" w:eastAsia="Corbel" w:hAnsi="Arial" w:cs="Arial"/>
          <w:sz w:val="24"/>
          <w:szCs w:val="24"/>
          <w:lang w:val="es-ES"/>
        </w:rPr>
        <w:t xml:space="preserve">e prevé </w:t>
      </w:r>
      <w:r w:rsidR="00BE16EE" w:rsidRPr="00BE16EE">
        <w:rPr>
          <w:rFonts w:ascii="Arial" w:eastAsia="Corbel" w:hAnsi="Arial" w:cs="Arial"/>
          <w:sz w:val="24"/>
          <w:szCs w:val="24"/>
          <w:lang w:val="es-ES"/>
        </w:rPr>
        <w:t>la participación de las asociaciones y organizaciones representativas de titulares de licencias con carácter previo a la adopción de decisiones por el Ayuntamiento</w:t>
      </w:r>
      <w:r w:rsidR="008E0486">
        <w:rPr>
          <w:rFonts w:ascii="Arial" w:eastAsia="Corbel" w:hAnsi="Arial" w:cs="Arial"/>
          <w:sz w:val="24"/>
          <w:szCs w:val="24"/>
          <w:lang w:val="es-ES"/>
        </w:rPr>
        <w:t xml:space="preserve">, por ejemplo </w:t>
      </w:r>
      <w:r>
        <w:rPr>
          <w:rFonts w:ascii="Arial" w:eastAsia="Corbel" w:hAnsi="Arial" w:cs="Arial"/>
          <w:sz w:val="24"/>
          <w:szCs w:val="24"/>
          <w:lang w:val="es-ES"/>
        </w:rPr>
        <w:t>cuando haya que otorgar nuevas</w:t>
      </w:r>
      <w:r w:rsidR="008E0486">
        <w:rPr>
          <w:rFonts w:ascii="Arial" w:eastAsia="Corbel" w:hAnsi="Arial" w:cs="Arial"/>
          <w:sz w:val="24"/>
          <w:szCs w:val="24"/>
          <w:lang w:val="es-ES"/>
        </w:rPr>
        <w:t xml:space="preserve"> licencias</w:t>
      </w:r>
      <w:r>
        <w:rPr>
          <w:rFonts w:ascii="Arial" w:eastAsia="Corbel" w:hAnsi="Arial" w:cs="Arial"/>
          <w:sz w:val="24"/>
          <w:szCs w:val="24"/>
          <w:lang w:val="es-ES"/>
        </w:rPr>
        <w:t xml:space="preserve">. Este hecho puede derivar </w:t>
      </w:r>
      <w:r w:rsidR="008A4A77" w:rsidRPr="00A55011">
        <w:rPr>
          <w:rFonts w:ascii="Arial" w:hAnsi="Arial" w:cs="Arial"/>
          <w:sz w:val="24"/>
          <w:szCs w:val="24"/>
          <w:lang w:val="es-ES"/>
        </w:rPr>
        <w:t>en un sistema de autorregulación o corregulación, con la consiguiente reducción de los objetivos para competir por parte de los operadores.</w:t>
      </w:r>
      <w:r w:rsidR="008E0486" w:rsidRPr="00A55011">
        <w:rPr>
          <w:rFonts w:ascii="Arial" w:hAnsi="Arial" w:cs="Arial"/>
          <w:sz w:val="24"/>
          <w:szCs w:val="24"/>
          <w:lang w:val="es-ES"/>
        </w:rPr>
        <w:t xml:space="preserve"> </w:t>
      </w:r>
    </w:p>
    <w:p w:rsidR="00314986" w:rsidRPr="008E0486" w:rsidRDefault="00314986" w:rsidP="00911BDB">
      <w:pPr>
        <w:widowControl/>
        <w:spacing w:after="0" w:line="240" w:lineRule="auto"/>
        <w:ind w:left="218"/>
        <w:jc w:val="both"/>
        <w:rPr>
          <w:rFonts w:ascii="Arial" w:eastAsia="Corbel" w:hAnsi="Arial" w:cs="Arial"/>
          <w:sz w:val="24"/>
          <w:szCs w:val="24"/>
          <w:lang w:val="es-ES"/>
        </w:rPr>
      </w:pPr>
    </w:p>
    <w:p w:rsidR="00BE16EE" w:rsidRPr="00BE16EE" w:rsidRDefault="00314986" w:rsidP="00F1064C">
      <w:pPr>
        <w:widowControl/>
        <w:numPr>
          <w:ilvl w:val="0"/>
          <w:numId w:val="20"/>
        </w:numPr>
        <w:spacing w:after="0" w:line="240" w:lineRule="auto"/>
        <w:jc w:val="both"/>
        <w:rPr>
          <w:rFonts w:ascii="Arial" w:eastAsia="Corbel" w:hAnsi="Arial" w:cs="Arial"/>
          <w:sz w:val="24"/>
          <w:szCs w:val="24"/>
          <w:lang w:val="es-ES"/>
        </w:rPr>
      </w:pPr>
      <w:r>
        <w:rPr>
          <w:rFonts w:ascii="Arial" w:eastAsia="Corbel" w:hAnsi="Arial" w:cs="Arial"/>
          <w:sz w:val="24"/>
          <w:szCs w:val="24"/>
          <w:lang w:val="es-ES"/>
        </w:rPr>
        <w:t xml:space="preserve">En cuanto a las tarifas, </w:t>
      </w:r>
      <w:r w:rsidR="009B1B43">
        <w:rPr>
          <w:rFonts w:ascii="Arial" w:eastAsia="Corbel" w:hAnsi="Arial" w:cs="Arial"/>
          <w:sz w:val="24"/>
          <w:szCs w:val="24"/>
          <w:lang w:val="es-ES"/>
        </w:rPr>
        <w:t>se</w:t>
      </w:r>
      <w:r w:rsidR="00F653E6" w:rsidRPr="008E0486">
        <w:rPr>
          <w:rFonts w:ascii="Arial" w:eastAsia="Corbel" w:hAnsi="Arial" w:cs="Arial"/>
          <w:sz w:val="24"/>
          <w:szCs w:val="24"/>
          <w:lang w:val="es-ES"/>
        </w:rPr>
        <w:t xml:space="preserve"> calif</w:t>
      </w:r>
      <w:r w:rsidR="008F17A9">
        <w:rPr>
          <w:rFonts w:ascii="Arial" w:eastAsia="Corbel" w:hAnsi="Arial" w:cs="Arial"/>
          <w:sz w:val="24"/>
          <w:szCs w:val="24"/>
          <w:lang w:val="es-ES"/>
        </w:rPr>
        <w:t>i</w:t>
      </w:r>
      <w:r w:rsidR="00F653E6" w:rsidRPr="008E0486">
        <w:rPr>
          <w:rFonts w:ascii="Arial" w:eastAsia="Corbel" w:hAnsi="Arial" w:cs="Arial"/>
          <w:sz w:val="24"/>
          <w:szCs w:val="24"/>
          <w:lang w:val="es-ES"/>
        </w:rPr>
        <w:t>ca</w:t>
      </w:r>
      <w:r>
        <w:rPr>
          <w:rFonts w:ascii="Arial" w:eastAsia="Corbel" w:hAnsi="Arial" w:cs="Arial"/>
          <w:sz w:val="24"/>
          <w:szCs w:val="24"/>
          <w:lang w:val="es-ES"/>
        </w:rPr>
        <w:t>n</w:t>
      </w:r>
      <w:r w:rsidR="00F653E6" w:rsidRPr="008E0486">
        <w:rPr>
          <w:rFonts w:ascii="Arial" w:eastAsia="Corbel" w:hAnsi="Arial" w:cs="Arial"/>
          <w:sz w:val="24"/>
          <w:szCs w:val="24"/>
          <w:lang w:val="es-ES"/>
        </w:rPr>
        <w:t xml:space="preserve"> como </w:t>
      </w:r>
      <w:r w:rsidR="008A4A77" w:rsidRPr="008E0486">
        <w:rPr>
          <w:rFonts w:ascii="Arial" w:eastAsia="Corbel" w:hAnsi="Arial" w:cs="Arial"/>
          <w:sz w:val="24"/>
          <w:szCs w:val="24"/>
          <w:lang w:val="es-ES"/>
        </w:rPr>
        <w:t xml:space="preserve">máximas </w:t>
      </w:r>
      <w:r w:rsidR="00F653E6" w:rsidRPr="008E0486">
        <w:rPr>
          <w:rFonts w:ascii="Arial" w:eastAsia="Corbel" w:hAnsi="Arial" w:cs="Arial"/>
          <w:sz w:val="24"/>
          <w:szCs w:val="24"/>
          <w:lang w:val="es-ES"/>
        </w:rPr>
        <w:t>en la norma pero</w:t>
      </w:r>
      <w:r>
        <w:rPr>
          <w:rFonts w:ascii="Arial" w:eastAsia="Corbel" w:hAnsi="Arial" w:cs="Arial"/>
          <w:sz w:val="24"/>
          <w:szCs w:val="24"/>
          <w:lang w:val="es-ES"/>
        </w:rPr>
        <w:t xml:space="preserve"> se</w:t>
      </w:r>
      <w:r w:rsidR="00F653E6" w:rsidRPr="008E0486">
        <w:rPr>
          <w:rFonts w:ascii="Arial" w:eastAsia="Corbel" w:hAnsi="Arial" w:cs="Arial"/>
          <w:sz w:val="24"/>
          <w:szCs w:val="24"/>
          <w:lang w:val="es-ES"/>
        </w:rPr>
        <w:t xml:space="preserve"> </w:t>
      </w:r>
      <w:r w:rsidRPr="008E0486">
        <w:rPr>
          <w:rFonts w:ascii="Arial" w:eastAsia="Corbel" w:hAnsi="Arial" w:cs="Arial"/>
          <w:sz w:val="24"/>
          <w:szCs w:val="24"/>
          <w:lang w:val="es-ES"/>
        </w:rPr>
        <w:t>configura</w:t>
      </w:r>
      <w:r>
        <w:rPr>
          <w:rFonts w:ascii="Arial" w:eastAsia="Corbel" w:hAnsi="Arial" w:cs="Arial"/>
          <w:sz w:val="24"/>
          <w:szCs w:val="24"/>
          <w:lang w:val="es-ES"/>
        </w:rPr>
        <w:t>n</w:t>
      </w:r>
      <w:r w:rsidRPr="008E0486">
        <w:rPr>
          <w:rFonts w:ascii="Arial" w:eastAsia="Corbel" w:hAnsi="Arial" w:cs="Arial"/>
          <w:sz w:val="24"/>
          <w:szCs w:val="24"/>
          <w:lang w:val="es-ES"/>
        </w:rPr>
        <w:t xml:space="preserve"> </w:t>
      </w:r>
      <w:r w:rsidR="008A4A77" w:rsidRPr="008E0486">
        <w:rPr>
          <w:rFonts w:ascii="Arial" w:eastAsia="Corbel" w:hAnsi="Arial" w:cs="Arial"/>
          <w:sz w:val="24"/>
          <w:szCs w:val="24"/>
          <w:lang w:val="es-ES"/>
        </w:rPr>
        <w:t>en distintos preceptos como obligatorias, por ejemplo</w:t>
      </w:r>
      <w:r w:rsidR="00F315D1">
        <w:rPr>
          <w:rFonts w:ascii="Arial" w:eastAsia="Corbel" w:hAnsi="Arial" w:cs="Arial"/>
          <w:sz w:val="24"/>
          <w:szCs w:val="24"/>
          <w:lang w:val="es-ES"/>
        </w:rPr>
        <w:t>,</w:t>
      </w:r>
      <w:r w:rsidR="008A4A77" w:rsidRPr="008E0486">
        <w:rPr>
          <w:rFonts w:ascii="Arial" w:eastAsia="Corbel" w:hAnsi="Arial" w:cs="Arial"/>
          <w:sz w:val="24"/>
          <w:szCs w:val="24"/>
          <w:lang w:val="es-ES"/>
        </w:rPr>
        <w:t xml:space="preserve"> en lo referido a la bajada de bandera</w:t>
      </w:r>
      <w:r w:rsidR="00B03B39">
        <w:rPr>
          <w:rFonts w:ascii="Arial" w:eastAsia="Corbel" w:hAnsi="Arial" w:cs="Arial"/>
          <w:sz w:val="24"/>
          <w:szCs w:val="24"/>
          <w:lang w:val="es-ES"/>
        </w:rPr>
        <w:t>. La norma estaría impidiendo la competencia en precios en la prestación de servicios de taxi</w:t>
      </w:r>
      <w:r>
        <w:rPr>
          <w:rFonts w:ascii="Arial" w:eastAsia="Corbel" w:hAnsi="Arial" w:cs="Arial"/>
          <w:sz w:val="24"/>
          <w:szCs w:val="24"/>
          <w:lang w:val="es-ES"/>
        </w:rPr>
        <w:t xml:space="preserve">, con el consiguiente perjuicio </w:t>
      </w:r>
      <w:r w:rsidR="00B03B39">
        <w:rPr>
          <w:rFonts w:ascii="Arial" w:eastAsia="Corbel" w:hAnsi="Arial" w:cs="Arial"/>
          <w:sz w:val="24"/>
          <w:szCs w:val="24"/>
          <w:lang w:val="es-ES"/>
        </w:rPr>
        <w:t>a los consumidores.</w:t>
      </w:r>
    </w:p>
    <w:p w:rsidR="00F653E6" w:rsidRPr="00F653E6" w:rsidRDefault="00F653E6" w:rsidP="00F653E6">
      <w:pPr>
        <w:spacing w:after="0" w:line="240" w:lineRule="auto"/>
        <w:ind w:left="-142"/>
        <w:jc w:val="both"/>
        <w:rPr>
          <w:rFonts w:ascii="Arial" w:eastAsia="Times New Roman" w:hAnsi="Arial" w:cs="Arial"/>
          <w:sz w:val="24"/>
          <w:szCs w:val="24"/>
          <w:lang w:val="es-ES" w:eastAsia="es-ES"/>
        </w:rPr>
      </w:pPr>
    </w:p>
    <w:p w:rsidR="00F1064C" w:rsidRDefault="00A55011" w:rsidP="001C1F50">
      <w:pPr>
        <w:spacing w:after="0" w:line="240" w:lineRule="auto"/>
        <w:ind w:left="-142"/>
        <w:jc w:val="both"/>
        <w:rPr>
          <w:rFonts w:ascii="Arial" w:eastAsia="Times New Roman" w:hAnsi="Arial" w:cs="Arial"/>
          <w:sz w:val="24"/>
          <w:szCs w:val="24"/>
          <w:lang w:val="es-ES" w:eastAsia="es-ES"/>
        </w:rPr>
      </w:pPr>
      <w:r w:rsidRPr="00A55011">
        <w:rPr>
          <w:rFonts w:ascii="Arial" w:eastAsia="Times New Roman" w:hAnsi="Arial" w:cs="Arial"/>
          <w:sz w:val="24"/>
          <w:szCs w:val="24"/>
          <w:lang w:val="es-ES" w:eastAsia="es-ES"/>
        </w:rPr>
        <w:t xml:space="preserve">La aprobación de esta normativa </w:t>
      </w:r>
      <w:r w:rsidR="00F1064C">
        <w:rPr>
          <w:rFonts w:ascii="Arial" w:eastAsia="Times New Roman" w:hAnsi="Arial" w:cs="Arial"/>
          <w:sz w:val="24"/>
          <w:szCs w:val="24"/>
          <w:lang w:val="es-ES" w:eastAsia="es-ES"/>
        </w:rPr>
        <w:t xml:space="preserve">restrictiva </w:t>
      </w:r>
      <w:r w:rsidRPr="00A55011">
        <w:rPr>
          <w:rFonts w:ascii="Arial" w:eastAsia="Times New Roman" w:hAnsi="Arial" w:cs="Arial"/>
          <w:sz w:val="24"/>
          <w:szCs w:val="24"/>
          <w:lang w:val="es-ES" w:eastAsia="es-ES"/>
        </w:rPr>
        <w:t xml:space="preserve">se produce en </w:t>
      </w:r>
      <w:r w:rsidR="00F1064C">
        <w:rPr>
          <w:rFonts w:ascii="Arial" w:eastAsia="Times New Roman" w:hAnsi="Arial" w:cs="Arial"/>
          <w:sz w:val="24"/>
          <w:szCs w:val="24"/>
          <w:lang w:val="es-ES" w:eastAsia="es-ES"/>
        </w:rPr>
        <w:t xml:space="preserve">un </w:t>
      </w:r>
      <w:r w:rsidRPr="00A55011">
        <w:rPr>
          <w:rFonts w:ascii="Arial" w:eastAsia="Times New Roman" w:hAnsi="Arial" w:cs="Arial"/>
          <w:sz w:val="24"/>
          <w:szCs w:val="24"/>
          <w:lang w:val="es-ES" w:eastAsia="es-ES"/>
        </w:rPr>
        <w:t xml:space="preserve">contexto </w:t>
      </w:r>
      <w:r w:rsidR="00F1064C">
        <w:rPr>
          <w:rFonts w:ascii="Arial" w:eastAsia="Times New Roman" w:hAnsi="Arial" w:cs="Arial"/>
          <w:sz w:val="24"/>
          <w:szCs w:val="24"/>
          <w:lang w:val="es-ES" w:eastAsia="es-ES"/>
        </w:rPr>
        <w:t xml:space="preserve">mundial </w:t>
      </w:r>
      <w:r w:rsidRPr="00A55011">
        <w:rPr>
          <w:rFonts w:ascii="Arial" w:eastAsia="Times New Roman" w:hAnsi="Arial" w:cs="Arial"/>
          <w:sz w:val="24"/>
          <w:szCs w:val="24"/>
          <w:lang w:val="es-ES" w:eastAsia="es-ES"/>
        </w:rPr>
        <w:t xml:space="preserve">de </w:t>
      </w:r>
      <w:r w:rsidR="00F1064C">
        <w:rPr>
          <w:rFonts w:ascii="Arial" w:eastAsia="Times New Roman" w:hAnsi="Arial" w:cs="Arial"/>
          <w:sz w:val="24"/>
          <w:szCs w:val="24"/>
          <w:lang w:val="es-ES" w:eastAsia="es-ES"/>
        </w:rPr>
        <w:t xml:space="preserve">innovación tecnológica en </w:t>
      </w:r>
      <w:r w:rsidR="009B1B43">
        <w:rPr>
          <w:rFonts w:ascii="Arial" w:eastAsia="Times New Roman" w:hAnsi="Arial" w:cs="Arial"/>
          <w:sz w:val="24"/>
          <w:szCs w:val="24"/>
          <w:lang w:val="es-ES" w:eastAsia="es-ES"/>
        </w:rPr>
        <w:t>el sector del transporte terrestre de viajeros</w:t>
      </w:r>
      <w:r w:rsidR="00F1064C">
        <w:rPr>
          <w:rFonts w:ascii="Arial" w:eastAsia="Times New Roman" w:hAnsi="Arial" w:cs="Arial"/>
          <w:sz w:val="24"/>
          <w:szCs w:val="24"/>
          <w:lang w:val="es-ES" w:eastAsia="es-ES"/>
        </w:rPr>
        <w:t xml:space="preserve">, que afecta tanto a los taxis ya instalados como a nuevos entrantes que prestan servicios de transporte a través de </w:t>
      </w:r>
      <w:r w:rsidRPr="00A55011">
        <w:rPr>
          <w:rFonts w:ascii="Arial" w:eastAsia="Times New Roman" w:hAnsi="Arial" w:cs="Arial"/>
          <w:sz w:val="24"/>
          <w:szCs w:val="24"/>
          <w:lang w:val="es-ES" w:eastAsia="es-ES"/>
        </w:rPr>
        <w:t xml:space="preserve">servicios </w:t>
      </w:r>
      <w:r w:rsidR="00F1064C">
        <w:rPr>
          <w:rFonts w:ascii="Arial" w:eastAsia="Times New Roman" w:hAnsi="Arial" w:cs="Arial"/>
          <w:sz w:val="24"/>
          <w:szCs w:val="24"/>
          <w:lang w:val="es-ES" w:eastAsia="es-ES"/>
        </w:rPr>
        <w:t xml:space="preserve">online </w:t>
      </w:r>
      <w:r w:rsidRPr="00A55011">
        <w:rPr>
          <w:rFonts w:ascii="Arial" w:eastAsia="Times New Roman" w:hAnsi="Arial" w:cs="Arial"/>
          <w:sz w:val="24"/>
          <w:szCs w:val="24"/>
          <w:lang w:val="es-ES" w:eastAsia="es-ES"/>
        </w:rPr>
        <w:t xml:space="preserve">y de economía colaborativa. </w:t>
      </w:r>
    </w:p>
    <w:p w:rsidR="00F1064C" w:rsidRDefault="00F1064C" w:rsidP="001C1F50">
      <w:pPr>
        <w:spacing w:after="0" w:line="240" w:lineRule="auto"/>
        <w:ind w:left="-142"/>
        <w:jc w:val="both"/>
        <w:rPr>
          <w:rFonts w:ascii="Arial" w:eastAsia="Times New Roman" w:hAnsi="Arial" w:cs="Arial"/>
          <w:sz w:val="24"/>
          <w:szCs w:val="24"/>
          <w:lang w:val="es-ES" w:eastAsia="es-ES"/>
        </w:rPr>
      </w:pPr>
    </w:p>
    <w:p w:rsidR="00230F54" w:rsidRDefault="009B1B43" w:rsidP="001C1F50">
      <w:pPr>
        <w:spacing w:after="0" w:line="240" w:lineRule="auto"/>
        <w:ind w:left="-14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Este tipo de restricciones</w:t>
      </w:r>
      <w:r w:rsidR="00F1064C">
        <w:rPr>
          <w:rFonts w:ascii="Arial" w:eastAsia="Times New Roman" w:hAnsi="Arial" w:cs="Arial"/>
          <w:sz w:val="24"/>
          <w:szCs w:val="24"/>
          <w:lang w:val="es-ES" w:eastAsia="es-ES"/>
        </w:rPr>
        <w:t xml:space="preserve"> perjudica a consumidores y usuarios</w:t>
      </w:r>
      <w:r w:rsidR="00A55011" w:rsidRPr="00A55011">
        <w:rPr>
          <w:rFonts w:ascii="Arial" w:eastAsia="Times New Roman" w:hAnsi="Arial" w:cs="Arial"/>
          <w:sz w:val="24"/>
          <w:szCs w:val="24"/>
          <w:lang w:val="es-ES" w:eastAsia="es-ES"/>
        </w:rPr>
        <w:t xml:space="preserve"> </w:t>
      </w:r>
      <w:r w:rsidR="00CA554D">
        <w:rPr>
          <w:rFonts w:ascii="Arial" w:eastAsia="Times New Roman" w:hAnsi="Arial" w:cs="Arial"/>
          <w:sz w:val="24"/>
          <w:szCs w:val="24"/>
          <w:lang w:val="es-ES" w:eastAsia="es-ES"/>
        </w:rPr>
        <w:t xml:space="preserve">y </w:t>
      </w:r>
      <w:r w:rsidR="00767D9D">
        <w:rPr>
          <w:rFonts w:ascii="Arial" w:hAnsi="Arial" w:cs="Arial"/>
          <w:bCs/>
          <w:sz w:val="24"/>
          <w:szCs w:val="24"/>
          <w:lang w:val="es-ES"/>
        </w:rPr>
        <w:t>reduce la capacidad de los operadores instalados para adaptarse y competir</w:t>
      </w:r>
      <w:r w:rsidR="00CA554D">
        <w:rPr>
          <w:rFonts w:ascii="Arial" w:eastAsia="Times New Roman" w:hAnsi="Arial" w:cs="Arial"/>
          <w:sz w:val="24"/>
          <w:szCs w:val="24"/>
          <w:lang w:val="es-ES" w:eastAsia="es-ES"/>
        </w:rPr>
        <w:t xml:space="preserve"> con modelos </w:t>
      </w:r>
      <w:r>
        <w:rPr>
          <w:rFonts w:ascii="Arial" w:eastAsia="Times New Roman" w:hAnsi="Arial" w:cs="Arial"/>
          <w:sz w:val="24"/>
          <w:szCs w:val="24"/>
          <w:lang w:val="es-ES" w:eastAsia="es-ES"/>
        </w:rPr>
        <w:t xml:space="preserve">económicos, </w:t>
      </w:r>
      <w:r w:rsidR="00F1064C">
        <w:rPr>
          <w:rFonts w:ascii="Arial" w:eastAsia="Times New Roman" w:hAnsi="Arial" w:cs="Arial"/>
          <w:sz w:val="24"/>
          <w:szCs w:val="24"/>
          <w:lang w:val="es-ES" w:eastAsia="es-ES"/>
        </w:rPr>
        <w:t xml:space="preserve">limita la posibilidad de mejorar la calidad </w:t>
      </w:r>
      <w:r>
        <w:rPr>
          <w:rFonts w:ascii="Arial" w:eastAsia="Times New Roman" w:hAnsi="Arial" w:cs="Arial"/>
          <w:sz w:val="24"/>
          <w:szCs w:val="24"/>
          <w:lang w:val="es-ES" w:eastAsia="es-ES"/>
        </w:rPr>
        <w:t>de estos servicios</w:t>
      </w:r>
      <w:r w:rsidR="00AC14BA">
        <w:rPr>
          <w:rFonts w:ascii="Arial" w:eastAsia="Times New Roman" w:hAnsi="Arial" w:cs="Arial"/>
          <w:sz w:val="24"/>
          <w:szCs w:val="24"/>
          <w:lang w:val="es-ES" w:eastAsia="es-ES"/>
        </w:rPr>
        <w:t xml:space="preserve">, </w:t>
      </w:r>
      <w:r w:rsidR="00F1064C">
        <w:rPr>
          <w:rFonts w:ascii="Arial" w:eastAsia="Times New Roman" w:hAnsi="Arial" w:cs="Arial"/>
          <w:sz w:val="24"/>
          <w:szCs w:val="24"/>
          <w:lang w:val="es-ES" w:eastAsia="es-ES"/>
        </w:rPr>
        <w:t xml:space="preserve">reduce la </w:t>
      </w:r>
      <w:r w:rsidR="00AC14BA">
        <w:rPr>
          <w:rFonts w:ascii="Arial" w:eastAsia="Times New Roman" w:hAnsi="Arial" w:cs="Arial"/>
          <w:sz w:val="24"/>
          <w:szCs w:val="24"/>
          <w:lang w:val="es-ES" w:eastAsia="es-ES"/>
        </w:rPr>
        <w:t xml:space="preserve">innovación en el sector y </w:t>
      </w:r>
      <w:r w:rsidR="000C4C76">
        <w:rPr>
          <w:rFonts w:ascii="Arial" w:eastAsia="Times New Roman" w:hAnsi="Arial" w:cs="Arial"/>
          <w:sz w:val="24"/>
          <w:szCs w:val="24"/>
          <w:lang w:val="es-ES" w:eastAsia="es-ES"/>
        </w:rPr>
        <w:t>los incentivos a</w:t>
      </w:r>
      <w:r w:rsidR="00230F5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que haya precios más </w:t>
      </w:r>
      <w:r w:rsidR="00230F54">
        <w:rPr>
          <w:rFonts w:ascii="Arial" w:eastAsia="Times New Roman" w:hAnsi="Arial" w:cs="Arial"/>
          <w:sz w:val="24"/>
          <w:szCs w:val="24"/>
          <w:lang w:val="es-ES" w:eastAsia="es-ES"/>
        </w:rPr>
        <w:t>eficientes y competitivos</w:t>
      </w:r>
      <w:r>
        <w:rPr>
          <w:rFonts w:ascii="Arial" w:eastAsia="Times New Roman" w:hAnsi="Arial" w:cs="Arial"/>
          <w:sz w:val="24"/>
          <w:szCs w:val="24"/>
          <w:lang w:val="es-ES" w:eastAsia="es-ES"/>
        </w:rPr>
        <w:t xml:space="preserve"> para los usuarios.</w:t>
      </w:r>
      <w:r w:rsidDel="009B1B43">
        <w:rPr>
          <w:rFonts w:ascii="Arial" w:eastAsia="Times New Roman" w:hAnsi="Arial" w:cs="Arial"/>
          <w:sz w:val="24"/>
          <w:szCs w:val="24"/>
          <w:lang w:val="es-ES" w:eastAsia="es-ES"/>
        </w:rPr>
        <w:t xml:space="preserve"> </w:t>
      </w:r>
    </w:p>
    <w:p w:rsidR="00F1064C" w:rsidRDefault="00F1064C" w:rsidP="001C1F50">
      <w:pPr>
        <w:spacing w:after="0" w:line="240" w:lineRule="auto"/>
        <w:ind w:left="-142"/>
        <w:jc w:val="both"/>
        <w:rPr>
          <w:rFonts w:ascii="Arial" w:eastAsia="Times New Roman" w:hAnsi="Arial" w:cs="Arial"/>
          <w:sz w:val="24"/>
          <w:szCs w:val="24"/>
          <w:lang w:val="es-ES" w:eastAsia="es-ES"/>
        </w:rPr>
      </w:pPr>
    </w:p>
    <w:p w:rsidR="00A55011" w:rsidRDefault="00F653E6" w:rsidP="001C1F50">
      <w:pPr>
        <w:spacing w:after="0" w:line="240" w:lineRule="auto"/>
        <w:ind w:left="-142"/>
        <w:jc w:val="both"/>
        <w:rPr>
          <w:rFonts w:ascii="Arial" w:hAnsi="Arial" w:cs="Arial"/>
          <w:sz w:val="24"/>
          <w:szCs w:val="24"/>
          <w:lang w:val="es-ES"/>
        </w:rPr>
      </w:pPr>
      <w:r>
        <w:rPr>
          <w:rFonts w:ascii="Arial" w:eastAsia="Times New Roman" w:hAnsi="Arial" w:cs="Arial"/>
          <w:sz w:val="24"/>
          <w:szCs w:val="24"/>
          <w:lang w:val="es-ES" w:eastAsia="es-ES"/>
        </w:rPr>
        <w:t>La CNMC entiende que</w:t>
      </w:r>
      <w:r w:rsidR="002D5B12">
        <w:rPr>
          <w:rFonts w:ascii="Arial" w:eastAsia="Times New Roman" w:hAnsi="Arial" w:cs="Arial"/>
          <w:sz w:val="24"/>
          <w:szCs w:val="24"/>
          <w:lang w:val="es-ES" w:eastAsia="es-ES"/>
        </w:rPr>
        <w:t>, dentro del plazo legal establecido,</w:t>
      </w:r>
      <w:r>
        <w:rPr>
          <w:rFonts w:ascii="Arial" w:eastAsia="Times New Roman" w:hAnsi="Arial" w:cs="Arial"/>
          <w:sz w:val="24"/>
          <w:szCs w:val="24"/>
          <w:lang w:val="es-ES" w:eastAsia="es-ES"/>
        </w:rPr>
        <w:t xml:space="preserve"> las </w:t>
      </w:r>
      <w:r w:rsidR="002D5B12">
        <w:rPr>
          <w:rFonts w:ascii="Arial" w:eastAsia="Times New Roman" w:hAnsi="Arial" w:cs="Arial"/>
          <w:sz w:val="24"/>
          <w:szCs w:val="24"/>
          <w:lang w:val="es-ES" w:eastAsia="es-ES"/>
        </w:rPr>
        <w:t xml:space="preserve">nuevas </w:t>
      </w:r>
      <w:r>
        <w:rPr>
          <w:rFonts w:ascii="Arial" w:eastAsia="Times New Roman" w:hAnsi="Arial" w:cs="Arial"/>
          <w:sz w:val="24"/>
          <w:szCs w:val="24"/>
          <w:lang w:val="es-ES" w:eastAsia="es-ES"/>
        </w:rPr>
        <w:t xml:space="preserve">disposiciones </w:t>
      </w:r>
      <w:r w:rsidR="008E0486">
        <w:rPr>
          <w:rFonts w:ascii="Arial" w:eastAsia="Times New Roman" w:hAnsi="Arial" w:cs="Arial"/>
          <w:sz w:val="24"/>
          <w:szCs w:val="24"/>
          <w:lang w:val="es-ES" w:eastAsia="es-ES"/>
        </w:rPr>
        <w:t>deben suprimirse o modificarse</w:t>
      </w:r>
      <w:r w:rsidR="00F1064C">
        <w:rPr>
          <w:rFonts w:ascii="Arial" w:eastAsia="Times New Roman" w:hAnsi="Arial" w:cs="Arial"/>
          <w:sz w:val="24"/>
          <w:szCs w:val="24"/>
          <w:lang w:val="es-ES" w:eastAsia="es-ES"/>
        </w:rPr>
        <w:t xml:space="preserve"> para favorecer en mayor medida al interés general</w:t>
      </w:r>
      <w:r w:rsidR="008E0486">
        <w:rPr>
          <w:rFonts w:ascii="Arial" w:eastAsia="Times New Roman" w:hAnsi="Arial" w:cs="Arial"/>
          <w:sz w:val="24"/>
          <w:szCs w:val="24"/>
          <w:lang w:val="es-ES" w:eastAsia="es-ES"/>
        </w:rPr>
        <w:t xml:space="preserve">, en tanto que </w:t>
      </w:r>
      <w:r>
        <w:rPr>
          <w:rFonts w:ascii="Arial" w:eastAsia="Times New Roman" w:hAnsi="Arial" w:cs="Arial"/>
          <w:sz w:val="24"/>
          <w:szCs w:val="24"/>
          <w:lang w:val="es-ES" w:eastAsia="es-ES"/>
        </w:rPr>
        <w:t xml:space="preserve">suponen un obstáculo </w:t>
      </w:r>
      <w:r w:rsidRPr="00F653E6">
        <w:rPr>
          <w:rFonts w:ascii="Arial" w:eastAsia="Times New Roman" w:hAnsi="Arial" w:cs="Arial"/>
          <w:sz w:val="24"/>
          <w:szCs w:val="24"/>
          <w:lang w:val="es-ES" w:eastAsia="es-ES"/>
        </w:rPr>
        <w:t>al desarrollo de una competencia efectiva</w:t>
      </w:r>
      <w:r w:rsidR="008E0486" w:rsidRPr="00A55011">
        <w:rPr>
          <w:rFonts w:ascii="Arial" w:eastAsia="Times New Roman" w:hAnsi="Arial" w:cs="Arial"/>
          <w:sz w:val="24"/>
          <w:szCs w:val="24"/>
          <w:lang w:val="es-ES" w:eastAsia="es-ES"/>
        </w:rPr>
        <w:t xml:space="preserve"> </w:t>
      </w:r>
    </w:p>
    <w:p w:rsidR="001C1F50" w:rsidRDefault="001C1F50" w:rsidP="00E65E17">
      <w:pPr>
        <w:spacing w:after="0" w:line="240" w:lineRule="auto"/>
        <w:jc w:val="both"/>
        <w:rPr>
          <w:rFonts w:ascii="Arial" w:hAnsi="Arial" w:cs="Arial"/>
          <w:sz w:val="24"/>
          <w:szCs w:val="24"/>
          <w:lang w:val="es-ES_tradnl"/>
        </w:rPr>
      </w:pPr>
    </w:p>
    <w:sectPr w:rsidR="001C1F50" w:rsidSect="00522C95">
      <w:footerReference w:type="default" r:id="rId12"/>
      <w:pgSz w:w="11940" w:h="16860"/>
      <w:pgMar w:top="993" w:right="1460" w:bottom="1135" w:left="1500" w:header="720" w:footer="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68" w:rsidRDefault="00D47368" w:rsidP="00331314">
      <w:pPr>
        <w:spacing w:after="0" w:line="240" w:lineRule="auto"/>
      </w:pPr>
      <w:r>
        <w:separator/>
      </w:r>
    </w:p>
  </w:endnote>
  <w:endnote w:type="continuationSeparator" w:id="0">
    <w:p w:rsidR="00D47368" w:rsidRDefault="00D47368" w:rsidP="0033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1E" w:rsidRPr="00F51D15" w:rsidRDefault="00F5181E" w:rsidP="00331314">
    <w:pPr>
      <w:pStyle w:val="Piedepgina"/>
      <w:rPr>
        <w:rFonts w:ascii="Arial" w:hAnsi="Arial" w:cs="Arial"/>
        <w:i/>
        <w:sz w:val="18"/>
        <w:lang w:val="es-ES"/>
      </w:rPr>
    </w:pPr>
    <w:r w:rsidRPr="00F51D15">
      <w:rPr>
        <w:rFonts w:ascii="Arial" w:hAnsi="Arial" w:cs="Arial"/>
        <w:i/>
        <w:sz w:val="18"/>
        <w:lang w:val="es-ES"/>
      </w:rPr>
      <w:t>Reproducción permitida solo si se cita la fuente.</w:t>
    </w:r>
  </w:p>
  <w:p w:rsidR="00F5181E" w:rsidRPr="00331314" w:rsidRDefault="00F5181E" w:rsidP="00331314">
    <w:pPr>
      <w:pStyle w:val="Piedepgina"/>
      <w:rPr>
        <w:lang w:val="es-ES"/>
      </w:rPr>
    </w:pPr>
  </w:p>
  <w:p w:rsidR="00F5181E" w:rsidRPr="00F51D15" w:rsidRDefault="00F5181E" w:rsidP="00F51D15">
    <w:pPr>
      <w:pStyle w:val="Piedepgina"/>
      <w:jc w:val="both"/>
      <w:rPr>
        <w:rFonts w:ascii="Arial" w:hAnsi="Arial" w:cs="Arial"/>
        <w:sz w:val="15"/>
        <w:szCs w:val="15"/>
        <w:lang w:val="es-ES"/>
      </w:rPr>
    </w:pPr>
    <w:r>
      <w:rPr>
        <w:rFonts w:ascii="Arial" w:eastAsia="Arial" w:hAnsi="Arial" w:cs="Arial"/>
        <w:noProof/>
        <w:sz w:val="15"/>
        <w:szCs w:val="15"/>
        <w:lang w:val="es-ES" w:eastAsia="es-ES"/>
      </w:rPr>
      <w:drawing>
        <wp:inline distT="0" distB="0" distL="0" distR="0" wp14:anchorId="487A0026" wp14:editId="487A0027">
          <wp:extent cx="5608955" cy="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6350"/>
                  </a:xfrm>
                  <a:prstGeom prst="rect">
                    <a:avLst/>
                  </a:prstGeom>
                  <a:noFill/>
                </pic:spPr>
              </pic:pic>
            </a:graphicData>
          </a:graphic>
        </wp:inline>
      </w:drawing>
    </w:r>
    <w:r w:rsidRPr="00F51D15">
      <w:rPr>
        <w:rFonts w:ascii="Arial" w:eastAsia="Arial" w:hAnsi="Arial" w:cs="Arial"/>
        <w:sz w:val="15"/>
        <w:szCs w:val="15"/>
        <w:lang w:val="es-ES"/>
      </w:rPr>
      <w:t>Pa</w:t>
    </w:r>
    <w:r w:rsidRPr="00F51D15">
      <w:rPr>
        <w:rFonts w:ascii="Arial" w:eastAsia="Arial" w:hAnsi="Arial" w:cs="Arial"/>
        <w:spacing w:val="-2"/>
        <w:sz w:val="15"/>
        <w:szCs w:val="15"/>
        <w:lang w:val="es-ES"/>
      </w:rPr>
      <w:t>r</w:t>
    </w:r>
    <w:r w:rsidRPr="00F51D15">
      <w:rPr>
        <w:rFonts w:ascii="Arial" w:eastAsia="Arial" w:hAnsi="Arial" w:cs="Arial"/>
        <w:sz w:val="15"/>
        <w:szCs w:val="15"/>
        <w:lang w:val="es-ES"/>
      </w:rPr>
      <w:t xml:space="preserve">a </w:t>
    </w:r>
    <w:r w:rsidRPr="00F51D15">
      <w:rPr>
        <w:rFonts w:ascii="Arial" w:eastAsia="Arial" w:hAnsi="Arial" w:cs="Arial"/>
        <w:spacing w:val="1"/>
        <w:sz w:val="15"/>
        <w:szCs w:val="15"/>
        <w:lang w:val="es-ES"/>
      </w:rPr>
      <w:t>m</w:t>
    </w:r>
    <w:r w:rsidRPr="00F51D15">
      <w:rPr>
        <w:rFonts w:ascii="Arial" w:eastAsia="Arial" w:hAnsi="Arial" w:cs="Arial"/>
        <w:spacing w:val="-2"/>
        <w:sz w:val="15"/>
        <w:szCs w:val="15"/>
        <w:lang w:val="es-ES"/>
      </w:rPr>
      <w:t>á</w:t>
    </w:r>
    <w:r w:rsidRPr="00F51D15">
      <w:rPr>
        <w:rFonts w:ascii="Arial" w:eastAsia="Arial" w:hAnsi="Arial" w:cs="Arial"/>
        <w:sz w:val="15"/>
        <w:szCs w:val="15"/>
        <w:lang w:val="es-ES"/>
      </w:rPr>
      <w:t>s i</w:t>
    </w:r>
    <w:r w:rsidRPr="00F51D15">
      <w:rPr>
        <w:rFonts w:ascii="Arial" w:eastAsia="Arial" w:hAnsi="Arial" w:cs="Arial"/>
        <w:spacing w:val="-2"/>
        <w:sz w:val="15"/>
        <w:szCs w:val="15"/>
        <w:lang w:val="es-ES"/>
      </w:rPr>
      <w:t>n</w:t>
    </w:r>
    <w:r w:rsidRPr="00F51D15">
      <w:rPr>
        <w:rFonts w:ascii="Arial" w:eastAsia="Arial" w:hAnsi="Arial" w:cs="Arial"/>
        <w:spacing w:val="1"/>
        <w:sz w:val="15"/>
        <w:szCs w:val="15"/>
        <w:lang w:val="es-ES"/>
      </w:rPr>
      <w:t>f</w:t>
    </w:r>
    <w:r w:rsidRPr="00F51D15">
      <w:rPr>
        <w:rFonts w:ascii="Arial" w:eastAsia="Arial" w:hAnsi="Arial" w:cs="Arial"/>
        <w:sz w:val="15"/>
        <w:szCs w:val="15"/>
        <w:lang w:val="es-ES"/>
      </w:rPr>
      <w:t>o</w:t>
    </w:r>
    <w:r w:rsidRPr="00F51D15">
      <w:rPr>
        <w:rFonts w:ascii="Arial" w:eastAsia="Arial" w:hAnsi="Arial" w:cs="Arial"/>
        <w:spacing w:val="-2"/>
        <w:sz w:val="15"/>
        <w:szCs w:val="15"/>
        <w:lang w:val="es-ES"/>
      </w:rPr>
      <w:t>r</w:t>
    </w:r>
    <w:r w:rsidRPr="00F51D15">
      <w:rPr>
        <w:rFonts w:ascii="Arial" w:eastAsia="Arial" w:hAnsi="Arial" w:cs="Arial"/>
        <w:spacing w:val="1"/>
        <w:sz w:val="15"/>
        <w:szCs w:val="15"/>
        <w:lang w:val="es-ES"/>
      </w:rPr>
      <w:t>m</w:t>
    </w:r>
    <w:r w:rsidRPr="00F51D15">
      <w:rPr>
        <w:rFonts w:ascii="Arial" w:eastAsia="Arial" w:hAnsi="Arial" w:cs="Arial"/>
        <w:sz w:val="15"/>
        <w:szCs w:val="15"/>
        <w:lang w:val="es-ES"/>
      </w:rPr>
      <w:t>a</w:t>
    </w:r>
    <w:r w:rsidRPr="00F51D15">
      <w:rPr>
        <w:rFonts w:ascii="Arial" w:eastAsia="Arial" w:hAnsi="Arial" w:cs="Arial"/>
        <w:spacing w:val="-2"/>
        <w:sz w:val="15"/>
        <w:szCs w:val="15"/>
        <w:lang w:val="es-ES"/>
      </w:rPr>
      <w:t>c</w:t>
    </w:r>
    <w:r w:rsidRPr="00F51D15">
      <w:rPr>
        <w:rFonts w:ascii="Arial" w:eastAsia="Arial" w:hAnsi="Arial" w:cs="Arial"/>
        <w:sz w:val="15"/>
        <w:szCs w:val="15"/>
        <w:lang w:val="es-ES"/>
      </w:rPr>
      <w:t>ió</w:t>
    </w:r>
    <w:r w:rsidRPr="00F51D15">
      <w:rPr>
        <w:rFonts w:ascii="Arial" w:eastAsia="Arial" w:hAnsi="Arial" w:cs="Arial"/>
        <w:spacing w:val="-2"/>
        <w:sz w:val="15"/>
        <w:szCs w:val="15"/>
        <w:lang w:val="es-ES"/>
      </w:rPr>
      <w:t>n</w:t>
    </w:r>
    <w:r>
      <w:rPr>
        <w:rFonts w:ascii="Arial" w:eastAsia="Arial" w:hAnsi="Arial" w:cs="Arial"/>
        <w:spacing w:val="-2"/>
        <w:sz w:val="15"/>
        <w:szCs w:val="15"/>
        <w:lang w:val="es-ES"/>
      </w:rPr>
      <w:t>: Tel</w:t>
    </w:r>
    <w:r w:rsidRPr="00F51D15">
      <w:rPr>
        <w:rFonts w:ascii="Arial" w:eastAsia="Arial" w:hAnsi="Arial" w:cs="Arial"/>
        <w:sz w:val="15"/>
        <w:szCs w:val="15"/>
        <w:lang w:val="es-ES"/>
      </w:rPr>
      <w:t>.+</w:t>
    </w:r>
    <w:r w:rsidRPr="00F51D15">
      <w:rPr>
        <w:rFonts w:ascii="Arial" w:eastAsia="Arial" w:hAnsi="Arial" w:cs="Arial"/>
        <w:spacing w:val="-2"/>
        <w:sz w:val="15"/>
        <w:szCs w:val="15"/>
        <w:lang w:val="es-ES"/>
      </w:rPr>
      <w:t>3</w:t>
    </w:r>
    <w:r w:rsidRPr="00F51D15">
      <w:rPr>
        <w:rFonts w:ascii="Arial" w:eastAsia="Arial" w:hAnsi="Arial" w:cs="Arial"/>
        <w:sz w:val="15"/>
        <w:szCs w:val="15"/>
        <w:lang w:val="es-ES"/>
      </w:rPr>
      <w:t>4</w:t>
    </w:r>
    <w:r>
      <w:rPr>
        <w:rFonts w:ascii="Arial" w:eastAsia="Arial" w:hAnsi="Arial" w:cs="Arial"/>
        <w:sz w:val="15"/>
        <w:szCs w:val="15"/>
        <w:lang w:val="es-ES"/>
      </w:rPr>
      <w:t xml:space="preserve"> </w:t>
    </w:r>
    <w:r w:rsidRPr="00F51D15">
      <w:rPr>
        <w:rFonts w:ascii="Arial" w:eastAsia="Arial" w:hAnsi="Arial" w:cs="Arial"/>
        <w:sz w:val="15"/>
        <w:szCs w:val="15"/>
        <w:lang w:val="es-ES"/>
      </w:rPr>
      <w:t>91</w:t>
    </w:r>
    <w:r w:rsidRPr="00F51D15">
      <w:rPr>
        <w:rFonts w:ascii="Arial" w:eastAsia="Arial" w:hAnsi="Arial" w:cs="Arial"/>
        <w:spacing w:val="-1"/>
        <w:sz w:val="15"/>
        <w:szCs w:val="15"/>
        <w:lang w:val="es-ES"/>
      </w:rPr>
      <w:t>4329634</w:t>
    </w:r>
    <w:r>
      <w:rPr>
        <w:rFonts w:ascii="Arial" w:eastAsia="Arial" w:hAnsi="Arial" w:cs="Arial"/>
        <w:sz w:val="15"/>
        <w:szCs w:val="15"/>
        <w:lang w:val="es-ES"/>
      </w:rPr>
      <w:t xml:space="preserve">/9616/9684  </w:t>
    </w:r>
    <w:r w:rsidRPr="00F51D15">
      <w:rPr>
        <w:rFonts w:ascii="Arial" w:eastAsia="Arial" w:hAnsi="Arial" w:cs="Arial"/>
        <w:sz w:val="15"/>
        <w:szCs w:val="15"/>
        <w:lang w:val="es-ES"/>
      </w:rPr>
      <w:t xml:space="preserve"> </w:t>
    </w:r>
    <w:hyperlink w:history="1">
      <w:r w:rsidRPr="00F51D15">
        <w:rPr>
          <w:rStyle w:val="Hipervnculo"/>
          <w:rFonts w:ascii="Arial" w:eastAsia="Arial" w:hAnsi="Arial" w:cs="Arial"/>
          <w:spacing w:val="1"/>
          <w:sz w:val="15"/>
          <w:szCs w:val="15"/>
          <w:u w:color="B35C48"/>
          <w:lang w:val="es-ES"/>
        </w:rPr>
        <w:t>w</w:t>
      </w:r>
      <w:r w:rsidRPr="00F51D15">
        <w:rPr>
          <w:rStyle w:val="Hipervnculo"/>
          <w:rFonts w:ascii="Arial" w:eastAsia="Arial" w:hAnsi="Arial" w:cs="Arial"/>
          <w:spacing w:val="-2"/>
          <w:sz w:val="15"/>
          <w:szCs w:val="15"/>
          <w:u w:color="B35C48"/>
          <w:lang w:val="es-ES"/>
        </w:rPr>
        <w:t>ww</w:t>
      </w:r>
      <w:r w:rsidRPr="00F51D15">
        <w:rPr>
          <w:rStyle w:val="Hipervnculo"/>
          <w:rFonts w:ascii="Arial" w:eastAsia="Arial" w:hAnsi="Arial" w:cs="Arial"/>
          <w:spacing w:val="1"/>
          <w:sz w:val="15"/>
          <w:szCs w:val="15"/>
          <w:u w:color="B35C48"/>
          <w:lang w:val="es-ES"/>
        </w:rPr>
        <w:t>.cnmc.</w:t>
      </w:r>
      <w:r w:rsidRPr="00F51D15">
        <w:rPr>
          <w:rStyle w:val="Hipervnculo"/>
          <w:rFonts w:ascii="Arial" w:eastAsia="Arial" w:hAnsi="Arial" w:cs="Arial"/>
          <w:spacing w:val="-2"/>
          <w:sz w:val="15"/>
          <w:szCs w:val="15"/>
          <w:u w:val="none"/>
          <w:lang w:val="es-ES"/>
        </w:rPr>
        <w:t>e</w:t>
      </w:r>
      <w:r w:rsidRPr="00F51D15">
        <w:rPr>
          <w:rStyle w:val="Hipervnculo"/>
          <w:rFonts w:ascii="Arial" w:eastAsia="Arial" w:hAnsi="Arial" w:cs="Arial"/>
          <w:sz w:val="15"/>
          <w:szCs w:val="15"/>
          <w:u w:val="none"/>
          <w:lang w:val="es-ES"/>
        </w:rPr>
        <w:t>s</w:t>
      </w:r>
    </w:hyperlink>
    <w:r>
      <w:rPr>
        <w:rStyle w:val="Hipervnculo"/>
        <w:rFonts w:ascii="Arial" w:eastAsia="Arial" w:hAnsi="Arial" w:cs="Arial"/>
        <w:spacing w:val="26"/>
        <w:sz w:val="15"/>
        <w:szCs w:val="15"/>
        <w:u w:val="none"/>
        <w:lang w:val="es-ES"/>
      </w:rPr>
      <w:t xml:space="preserve">  </w:t>
    </w:r>
    <w:r w:rsidRPr="00F51D15">
      <w:rPr>
        <w:rFonts w:ascii="Arial" w:eastAsia="Arial" w:hAnsi="Arial" w:cs="Arial"/>
        <w:color w:val="000000"/>
        <w:spacing w:val="-1"/>
        <w:sz w:val="15"/>
        <w:szCs w:val="15"/>
        <w:lang w:val="es-ES"/>
      </w:rPr>
      <w:t>C</w:t>
    </w:r>
    <w:r w:rsidRPr="00F51D15">
      <w:rPr>
        <w:rFonts w:ascii="Arial" w:eastAsia="Arial" w:hAnsi="Arial" w:cs="Arial"/>
        <w:color w:val="000000"/>
        <w:sz w:val="15"/>
        <w:szCs w:val="15"/>
        <w:lang w:val="es-ES"/>
      </w:rPr>
      <w:t>or</w:t>
    </w:r>
    <w:r w:rsidRPr="00F51D15">
      <w:rPr>
        <w:rFonts w:ascii="Arial" w:eastAsia="Arial" w:hAnsi="Arial" w:cs="Arial"/>
        <w:color w:val="000000"/>
        <w:spacing w:val="-2"/>
        <w:sz w:val="15"/>
        <w:szCs w:val="15"/>
        <w:lang w:val="es-ES"/>
      </w:rPr>
      <w:t>r</w:t>
    </w:r>
    <w:r w:rsidRPr="00F51D15">
      <w:rPr>
        <w:rFonts w:ascii="Arial" w:eastAsia="Arial" w:hAnsi="Arial" w:cs="Arial"/>
        <w:color w:val="000000"/>
        <w:sz w:val="15"/>
        <w:szCs w:val="15"/>
        <w:lang w:val="es-ES"/>
      </w:rPr>
      <w:t>eo e</w:t>
    </w:r>
    <w:r w:rsidRPr="00F51D15">
      <w:rPr>
        <w:rFonts w:ascii="Arial" w:eastAsia="Arial" w:hAnsi="Arial" w:cs="Arial"/>
        <w:color w:val="000000"/>
        <w:spacing w:val="-2"/>
        <w:sz w:val="15"/>
        <w:szCs w:val="15"/>
        <w:lang w:val="es-ES"/>
      </w:rPr>
      <w:t>l</w:t>
    </w:r>
    <w:r w:rsidRPr="00F51D15">
      <w:rPr>
        <w:rFonts w:ascii="Arial" w:eastAsia="Arial" w:hAnsi="Arial" w:cs="Arial"/>
        <w:color w:val="000000"/>
        <w:sz w:val="15"/>
        <w:szCs w:val="15"/>
        <w:lang w:val="es-ES"/>
      </w:rPr>
      <w:t>e</w:t>
    </w:r>
    <w:r w:rsidRPr="00F51D15">
      <w:rPr>
        <w:rFonts w:ascii="Arial" w:eastAsia="Arial" w:hAnsi="Arial" w:cs="Arial"/>
        <w:color w:val="000000"/>
        <w:spacing w:val="-2"/>
        <w:sz w:val="15"/>
        <w:szCs w:val="15"/>
        <w:lang w:val="es-ES"/>
      </w:rPr>
      <w:t>c</w:t>
    </w:r>
    <w:r w:rsidRPr="00F51D15">
      <w:rPr>
        <w:rFonts w:ascii="Arial" w:eastAsia="Arial" w:hAnsi="Arial" w:cs="Arial"/>
        <w:color w:val="000000"/>
        <w:sz w:val="15"/>
        <w:szCs w:val="15"/>
        <w:lang w:val="es-ES"/>
      </w:rPr>
      <w:t>tróni</w:t>
    </w:r>
    <w:r w:rsidRPr="00F51D15">
      <w:rPr>
        <w:rFonts w:ascii="Arial" w:eastAsia="Arial" w:hAnsi="Arial" w:cs="Arial"/>
        <w:color w:val="000000"/>
        <w:spacing w:val="-2"/>
        <w:sz w:val="15"/>
        <w:szCs w:val="15"/>
        <w:lang w:val="es-ES"/>
      </w:rPr>
      <w:t>c</w:t>
    </w:r>
    <w:r w:rsidRPr="00F51D15">
      <w:rPr>
        <w:rFonts w:ascii="Arial" w:eastAsia="Arial" w:hAnsi="Arial" w:cs="Arial"/>
        <w:color w:val="000000"/>
        <w:sz w:val="15"/>
        <w:szCs w:val="15"/>
        <w:lang w:val="es-ES"/>
      </w:rPr>
      <w:t xml:space="preserve">o: </w:t>
    </w:r>
    <w:hyperlink r:id="rId2" w:history="1">
      <w:r w:rsidRPr="00D35EC9">
        <w:rPr>
          <w:rStyle w:val="Hipervnculo"/>
          <w:rFonts w:ascii="Arial" w:eastAsia="Arial" w:hAnsi="Arial" w:cs="Arial"/>
          <w:sz w:val="15"/>
          <w:szCs w:val="15"/>
          <w:u w:color="B35C48"/>
          <w:lang w:val="es-ES"/>
        </w:rPr>
        <w:t>prensa</w:t>
      </w:r>
      <w:r w:rsidRPr="00D35EC9">
        <w:rPr>
          <w:rStyle w:val="Hipervnculo"/>
          <w:rFonts w:ascii="Arial" w:eastAsia="Arial" w:hAnsi="Arial" w:cs="Arial"/>
          <w:spacing w:val="-1"/>
          <w:w w:val="87"/>
          <w:sz w:val="15"/>
          <w:szCs w:val="15"/>
          <w:u w:color="B35C48"/>
          <w:lang w:val="es-ES"/>
        </w:rPr>
        <w:t>@cnmc.</w:t>
      </w:r>
      <w:r w:rsidRPr="00D35EC9">
        <w:rPr>
          <w:rStyle w:val="Hipervnculo"/>
          <w:rFonts w:ascii="Arial" w:eastAsia="Arial" w:hAnsi="Arial" w:cs="Arial"/>
          <w:spacing w:val="-2"/>
          <w:w w:val="97"/>
          <w:sz w:val="15"/>
          <w:szCs w:val="15"/>
          <w:u w:color="B35C48"/>
          <w:lang w:val="es-ES"/>
        </w:rPr>
        <w:t>e</w:t>
      </w:r>
      <w:r w:rsidRPr="00D35EC9">
        <w:rPr>
          <w:rStyle w:val="Hipervnculo"/>
          <w:rFonts w:ascii="Arial" w:eastAsia="Arial" w:hAnsi="Arial" w:cs="Arial"/>
          <w:sz w:val="15"/>
          <w:szCs w:val="15"/>
          <w:u w:color="B35C48"/>
          <w:lang w:val="es-ES"/>
        </w:rPr>
        <w:t>s</w:t>
      </w:r>
    </w:hyperlink>
  </w:p>
  <w:p w:rsidR="00F5181E" w:rsidRPr="00331314" w:rsidRDefault="00F5181E">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68" w:rsidRDefault="00D47368" w:rsidP="00331314">
      <w:pPr>
        <w:spacing w:after="0" w:line="240" w:lineRule="auto"/>
      </w:pPr>
      <w:r>
        <w:separator/>
      </w:r>
    </w:p>
  </w:footnote>
  <w:footnote w:type="continuationSeparator" w:id="0">
    <w:p w:rsidR="00D47368" w:rsidRDefault="00D47368" w:rsidP="0033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9BA"/>
    <w:multiLevelType w:val="hybridMultilevel"/>
    <w:tmpl w:val="5198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97BEB"/>
    <w:multiLevelType w:val="hybridMultilevel"/>
    <w:tmpl w:val="5B8693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84040C"/>
    <w:multiLevelType w:val="hybridMultilevel"/>
    <w:tmpl w:val="BC6C169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1021C4B"/>
    <w:multiLevelType w:val="hybridMultilevel"/>
    <w:tmpl w:val="7470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3F541F"/>
    <w:multiLevelType w:val="hybridMultilevel"/>
    <w:tmpl w:val="E01ADA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DCD4ED4"/>
    <w:multiLevelType w:val="hybridMultilevel"/>
    <w:tmpl w:val="95D46C56"/>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67219"/>
    <w:multiLevelType w:val="hybridMultilevel"/>
    <w:tmpl w:val="D58C0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D700A1"/>
    <w:multiLevelType w:val="hybridMultilevel"/>
    <w:tmpl w:val="49C0BAB2"/>
    <w:lvl w:ilvl="0" w:tplc="7B78108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490E2A"/>
    <w:multiLevelType w:val="hybridMultilevel"/>
    <w:tmpl w:val="81C29120"/>
    <w:lvl w:ilvl="0" w:tplc="9FCE3A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7E66B8"/>
    <w:multiLevelType w:val="hybridMultilevel"/>
    <w:tmpl w:val="003C4498"/>
    <w:lvl w:ilvl="0" w:tplc="08E827D2">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5D541707"/>
    <w:multiLevelType w:val="hybridMultilevel"/>
    <w:tmpl w:val="47F6FBE8"/>
    <w:lvl w:ilvl="0" w:tplc="0C0A0001">
      <w:start w:val="1"/>
      <w:numFmt w:val="bullet"/>
      <w:lvlText w:val=""/>
      <w:lvlJc w:val="left"/>
      <w:pPr>
        <w:ind w:left="578" w:hanging="360"/>
      </w:pPr>
      <w:rPr>
        <w:rFonts w:ascii="Symbol" w:hAnsi="Symbol" w:hint="default"/>
      </w:rPr>
    </w:lvl>
    <w:lvl w:ilvl="1" w:tplc="0C0A0019">
      <w:start w:val="1"/>
      <w:numFmt w:val="lowerLetter"/>
      <w:lvlText w:val="%2."/>
      <w:lvlJc w:val="left"/>
      <w:pPr>
        <w:ind w:left="1298" w:hanging="360"/>
      </w:pPr>
    </w:lvl>
    <w:lvl w:ilvl="2" w:tplc="0C0A001B">
      <w:start w:val="1"/>
      <w:numFmt w:val="lowerRoman"/>
      <w:lvlText w:val="%3."/>
      <w:lvlJc w:val="right"/>
      <w:pPr>
        <w:ind w:left="2018" w:hanging="180"/>
      </w:pPr>
    </w:lvl>
    <w:lvl w:ilvl="3" w:tplc="0C0A000F">
      <w:start w:val="1"/>
      <w:numFmt w:val="decimal"/>
      <w:lvlText w:val="%4."/>
      <w:lvlJc w:val="left"/>
      <w:pPr>
        <w:ind w:left="2738" w:hanging="360"/>
      </w:pPr>
    </w:lvl>
    <w:lvl w:ilvl="4" w:tplc="0C0A0019">
      <w:start w:val="1"/>
      <w:numFmt w:val="lowerLetter"/>
      <w:lvlText w:val="%5."/>
      <w:lvlJc w:val="left"/>
      <w:pPr>
        <w:ind w:left="3458" w:hanging="360"/>
      </w:pPr>
    </w:lvl>
    <w:lvl w:ilvl="5" w:tplc="0C0A001B">
      <w:start w:val="1"/>
      <w:numFmt w:val="lowerRoman"/>
      <w:lvlText w:val="%6."/>
      <w:lvlJc w:val="right"/>
      <w:pPr>
        <w:ind w:left="4178" w:hanging="180"/>
      </w:pPr>
    </w:lvl>
    <w:lvl w:ilvl="6" w:tplc="0C0A000F">
      <w:start w:val="1"/>
      <w:numFmt w:val="decimal"/>
      <w:lvlText w:val="%7."/>
      <w:lvlJc w:val="left"/>
      <w:pPr>
        <w:ind w:left="4898" w:hanging="360"/>
      </w:pPr>
    </w:lvl>
    <w:lvl w:ilvl="7" w:tplc="0C0A0019">
      <w:start w:val="1"/>
      <w:numFmt w:val="lowerLetter"/>
      <w:lvlText w:val="%8."/>
      <w:lvlJc w:val="left"/>
      <w:pPr>
        <w:ind w:left="5618" w:hanging="360"/>
      </w:pPr>
    </w:lvl>
    <w:lvl w:ilvl="8" w:tplc="0C0A001B">
      <w:start w:val="1"/>
      <w:numFmt w:val="lowerRoman"/>
      <w:lvlText w:val="%9."/>
      <w:lvlJc w:val="right"/>
      <w:pPr>
        <w:ind w:left="6338" w:hanging="180"/>
      </w:pPr>
    </w:lvl>
  </w:abstractNum>
  <w:abstractNum w:abstractNumId="11" w15:restartNumberingAfterBreak="0">
    <w:nsid w:val="5DE60106"/>
    <w:multiLevelType w:val="hybridMultilevel"/>
    <w:tmpl w:val="DE30594C"/>
    <w:lvl w:ilvl="0" w:tplc="4F0611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B6140D"/>
    <w:multiLevelType w:val="hybridMultilevel"/>
    <w:tmpl w:val="8C1475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DD5D56"/>
    <w:multiLevelType w:val="hybridMultilevel"/>
    <w:tmpl w:val="D39ECD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CF3347"/>
    <w:multiLevelType w:val="hybridMultilevel"/>
    <w:tmpl w:val="102493A8"/>
    <w:lvl w:ilvl="0" w:tplc="0C0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14BB4"/>
    <w:multiLevelType w:val="hybridMultilevel"/>
    <w:tmpl w:val="DC543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1246BC"/>
    <w:multiLevelType w:val="hybridMultilevel"/>
    <w:tmpl w:val="DDCA33BE"/>
    <w:lvl w:ilvl="0" w:tplc="7B78108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B405AA"/>
    <w:multiLevelType w:val="hybridMultilevel"/>
    <w:tmpl w:val="A246D5F4"/>
    <w:lvl w:ilvl="0" w:tplc="AF9ED6E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F495ED4"/>
    <w:multiLevelType w:val="hybridMultilevel"/>
    <w:tmpl w:val="FBAA75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F410C6"/>
    <w:multiLevelType w:val="hybridMultilevel"/>
    <w:tmpl w:val="AD844AF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4"/>
  </w:num>
  <w:num w:numId="5">
    <w:abstractNumId w:val="7"/>
  </w:num>
  <w:num w:numId="6">
    <w:abstractNumId w:val="8"/>
  </w:num>
  <w:num w:numId="7">
    <w:abstractNumId w:val="5"/>
  </w:num>
  <w:num w:numId="8">
    <w:abstractNumId w:val="13"/>
  </w:num>
  <w:num w:numId="9">
    <w:abstractNumId w:val="18"/>
  </w:num>
  <w:num w:numId="10">
    <w:abstractNumId w:val="2"/>
  </w:num>
  <w:num w:numId="11">
    <w:abstractNumId w:val="11"/>
  </w:num>
  <w:num w:numId="12">
    <w:abstractNumId w:val="3"/>
  </w:num>
  <w:num w:numId="13">
    <w:abstractNumId w:val="6"/>
  </w:num>
  <w:num w:numId="14">
    <w:abstractNumId w:val="12"/>
  </w:num>
  <w:num w:numId="15">
    <w:abstractNumId w:val="16"/>
  </w:num>
  <w:num w:numId="16">
    <w:abstractNumId w:val="14"/>
  </w:num>
  <w:num w:numId="17">
    <w:abstractNumId w:val="1"/>
  </w:num>
  <w:num w:numId="18">
    <w:abstractNumId w:val="19"/>
  </w:num>
  <w:num w:numId="19">
    <w:abstractNumId w:val="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9E"/>
    <w:rsid w:val="00021025"/>
    <w:rsid w:val="00022D5E"/>
    <w:rsid w:val="00041885"/>
    <w:rsid w:val="00052413"/>
    <w:rsid w:val="000715DF"/>
    <w:rsid w:val="0008552E"/>
    <w:rsid w:val="00093D29"/>
    <w:rsid w:val="000A0683"/>
    <w:rsid w:val="000C4C76"/>
    <w:rsid w:val="000C7079"/>
    <w:rsid w:val="001121A6"/>
    <w:rsid w:val="001303CD"/>
    <w:rsid w:val="00134E40"/>
    <w:rsid w:val="001350FA"/>
    <w:rsid w:val="00136464"/>
    <w:rsid w:val="0014600E"/>
    <w:rsid w:val="00147909"/>
    <w:rsid w:val="00147A71"/>
    <w:rsid w:val="00156600"/>
    <w:rsid w:val="001617C4"/>
    <w:rsid w:val="00182039"/>
    <w:rsid w:val="0019735B"/>
    <w:rsid w:val="001B4AC6"/>
    <w:rsid w:val="001C0B60"/>
    <w:rsid w:val="001C1F50"/>
    <w:rsid w:val="001E1478"/>
    <w:rsid w:val="001E3886"/>
    <w:rsid w:val="002011CA"/>
    <w:rsid w:val="0021304A"/>
    <w:rsid w:val="002145A1"/>
    <w:rsid w:val="00222F61"/>
    <w:rsid w:val="00224725"/>
    <w:rsid w:val="00230F54"/>
    <w:rsid w:val="00231647"/>
    <w:rsid w:val="00232ED5"/>
    <w:rsid w:val="00241900"/>
    <w:rsid w:val="00253201"/>
    <w:rsid w:val="0026236A"/>
    <w:rsid w:val="00262853"/>
    <w:rsid w:val="00270097"/>
    <w:rsid w:val="00272FBA"/>
    <w:rsid w:val="0027502B"/>
    <w:rsid w:val="00275DC0"/>
    <w:rsid w:val="00287E0C"/>
    <w:rsid w:val="002A4160"/>
    <w:rsid w:val="002B6FB5"/>
    <w:rsid w:val="002D2F50"/>
    <w:rsid w:val="002D5B12"/>
    <w:rsid w:val="002E22F9"/>
    <w:rsid w:val="002E5169"/>
    <w:rsid w:val="002F247D"/>
    <w:rsid w:val="002F36D3"/>
    <w:rsid w:val="0030148F"/>
    <w:rsid w:val="00310B54"/>
    <w:rsid w:val="00314986"/>
    <w:rsid w:val="00331314"/>
    <w:rsid w:val="00331DBE"/>
    <w:rsid w:val="00347E2E"/>
    <w:rsid w:val="00371476"/>
    <w:rsid w:val="00377293"/>
    <w:rsid w:val="0039459A"/>
    <w:rsid w:val="00396FA3"/>
    <w:rsid w:val="003A363A"/>
    <w:rsid w:val="003B2DAE"/>
    <w:rsid w:val="003C7DAE"/>
    <w:rsid w:val="003D38F7"/>
    <w:rsid w:val="003D39A1"/>
    <w:rsid w:val="003D575B"/>
    <w:rsid w:val="003E5C2B"/>
    <w:rsid w:val="003F50CE"/>
    <w:rsid w:val="00403B9A"/>
    <w:rsid w:val="00403BC0"/>
    <w:rsid w:val="00417CBA"/>
    <w:rsid w:val="00424875"/>
    <w:rsid w:val="00453234"/>
    <w:rsid w:val="00461C68"/>
    <w:rsid w:val="00494313"/>
    <w:rsid w:val="004955BD"/>
    <w:rsid w:val="004A433B"/>
    <w:rsid w:val="004A4DC1"/>
    <w:rsid w:val="004A5AFC"/>
    <w:rsid w:val="004E7686"/>
    <w:rsid w:val="0051062E"/>
    <w:rsid w:val="00513A0B"/>
    <w:rsid w:val="005152B5"/>
    <w:rsid w:val="00522C95"/>
    <w:rsid w:val="00523515"/>
    <w:rsid w:val="00525DE8"/>
    <w:rsid w:val="00526F38"/>
    <w:rsid w:val="00553D2A"/>
    <w:rsid w:val="00556A70"/>
    <w:rsid w:val="00561BF4"/>
    <w:rsid w:val="0057131C"/>
    <w:rsid w:val="00580C49"/>
    <w:rsid w:val="00590170"/>
    <w:rsid w:val="005909B9"/>
    <w:rsid w:val="00597777"/>
    <w:rsid w:val="005A6712"/>
    <w:rsid w:val="005F3E64"/>
    <w:rsid w:val="005F6E6F"/>
    <w:rsid w:val="00602204"/>
    <w:rsid w:val="0061022D"/>
    <w:rsid w:val="006218AA"/>
    <w:rsid w:val="00626CCB"/>
    <w:rsid w:val="006342C2"/>
    <w:rsid w:val="006567E5"/>
    <w:rsid w:val="00663339"/>
    <w:rsid w:val="006638BB"/>
    <w:rsid w:val="00665944"/>
    <w:rsid w:val="00667044"/>
    <w:rsid w:val="00667629"/>
    <w:rsid w:val="006956A3"/>
    <w:rsid w:val="006970C0"/>
    <w:rsid w:val="006A6883"/>
    <w:rsid w:val="006A7F68"/>
    <w:rsid w:val="006D005C"/>
    <w:rsid w:val="006D0CFC"/>
    <w:rsid w:val="006D1F4A"/>
    <w:rsid w:val="006D2A61"/>
    <w:rsid w:val="007015E5"/>
    <w:rsid w:val="00723829"/>
    <w:rsid w:val="00730C2A"/>
    <w:rsid w:val="00743561"/>
    <w:rsid w:val="00743EA1"/>
    <w:rsid w:val="00744561"/>
    <w:rsid w:val="00753736"/>
    <w:rsid w:val="0076704A"/>
    <w:rsid w:val="00767D9D"/>
    <w:rsid w:val="00775DAB"/>
    <w:rsid w:val="0078346F"/>
    <w:rsid w:val="00790AD4"/>
    <w:rsid w:val="007A030D"/>
    <w:rsid w:val="007A1321"/>
    <w:rsid w:val="007B1918"/>
    <w:rsid w:val="007B4F7A"/>
    <w:rsid w:val="007B6223"/>
    <w:rsid w:val="007F3EFE"/>
    <w:rsid w:val="00803314"/>
    <w:rsid w:val="00813FA4"/>
    <w:rsid w:val="00834240"/>
    <w:rsid w:val="00850A69"/>
    <w:rsid w:val="008712A8"/>
    <w:rsid w:val="008748EE"/>
    <w:rsid w:val="008861E4"/>
    <w:rsid w:val="008A2EF0"/>
    <w:rsid w:val="008A4383"/>
    <w:rsid w:val="008A4A77"/>
    <w:rsid w:val="008A68C3"/>
    <w:rsid w:val="008B2092"/>
    <w:rsid w:val="008B5E80"/>
    <w:rsid w:val="008B6B4F"/>
    <w:rsid w:val="008D0138"/>
    <w:rsid w:val="008E0486"/>
    <w:rsid w:val="008E2CBD"/>
    <w:rsid w:val="008E5B00"/>
    <w:rsid w:val="008F17A9"/>
    <w:rsid w:val="008F7FAD"/>
    <w:rsid w:val="00910CA1"/>
    <w:rsid w:val="00911BDB"/>
    <w:rsid w:val="00912998"/>
    <w:rsid w:val="00936571"/>
    <w:rsid w:val="009409FE"/>
    <w:rsid w:val="00947857"/>
    <w:rsid w:val="009552AB"/>
    <w:rsid w:val="0095639E"/>
    <w:rsid w:val="0095676B"/>
    <w:rsid w:val="00967E1E"/>
    <w:rsid w:val="0098317C"/>
    <w:rsid w:val="00983E9E"/>
    <w:rsid w:val="00986604"/>
    <w:rsid w:val="0098669A"/>
    <w:rsid w:val="00991B50"/>
    <w:rsid w:val="00992A2A"/>
    <w:rsid w:val="009B1328"/>
    <w:rsid w:val="009B1790"/>
    <w:rsid w:val="009B1A4C"/>
    <w:rsid w:val="009B1B43"/>
    <w:rsid w:val="009B54C7"/>
    <w:rsid w:val="009B5755"/>
    <w:rsid w:val="009B6DCB"/>
    <w:rsid w:val="009C72A8"/>
    <w:rsid w:val="009D0C32"/>
    <w:rsid w:val="009D4C08"/>
    <w:rsid w:val="009D559F"/>
    <w:rsid w:val="009E4D3E"/>
    <w:rsid w:val="009E6395"/>
    <w:rsid w:val="009F447E"/>
    <w:rsid w:val="009F47AE"/>
    <w:rsid w:val="00A00581"/>
    <w:rsid w:val="00A00D47"/>
    <w:rsid w:val="00A01CCD"/>
    <w:rsid w:val="00A35CEB"/>
    <w:rsid w:val="00A47954"/>
    <w:rsid w:val="00A55011"/>
    <w:rsid w:val="00A66CDB"/>
    <w:rsid w:val="00A747E0"/>
    <w:rsid w:val="00A87098"/>
    <w:rsid w:val="00A90B99"/>
    <w:rsid w:val="00A96E99"/>
    <w:rsid w:val="00A97A22"/>
    <w:rsid w:val="00AC14BA"/>
    <w:rsid w:val="00AC7631"/>
    <w:rsid w:val="00AF1EE8"/>
    <w:rsid w:val="00AF2BEB"/>
    <w:rsid w:val="00B03B39"/>
    <w:rsid w:val="00B04810"/>
    <w:rsid w:val="00B159F8"/>
    <w:rsid w:val="00B2021C"/>
    <w:rsid w:val="00B2408F"/>
    <w:rsid w:val="00B33E93"/>
    <w:rsid w:val="00B526C6"/>
    <w:rsid w:val="00B82EDA"/>
    <w:rsid w:val="00B93CA2"/>
    <w:rsid w:val="00B975EB"/>
    <w:rsid w:val="00BA2247"/>
    <w:rsid w:val="00BA3B8B"/>
    <w:rsid w:val="00BB1819"/>
    <w:rsid w:val="00BB71E9"/>
    <w:rsid w:val="00BD299A"/>
    <w:rsid w:val="00BD4E54"/>
    <w:rsid w:val="00BD5B38"/>
    <w:rsid w:val="00BE10CA"/>
    <w:rsid w:val="00BE16EE"/>
    <w:rsid w:val="00C0588E"/>
    <w:rsid w:val="00C12379"/>
    <w:rsid w:val="00C2538B"/>
    <w:rsid w:val="00C34FB7"/>
    <w:rsid w:val="00C47446"/>
    <w:rsid w:val="00C62995"/>
    <w:rsid w:val="00C66B79"/>
    <w:rsid w:val="00C67A9C"/>
    <w:rsid w:val="00C86A15"/>
    <w:rsid w:val="00CA554D"/>
    <w:rsid w:val="00CA7808"/>
    <w:rsid w:val="00CB3A34"/>
    <w:rsid w:val="00CC0BE9"/>
    <w:rsid w:val="00CD3CC5"/>
    <w:rsid w:val="00CD56A8"/>
    <w:rsid w:val="00CE4948"/>
    <w:rsid w:val="00CF299B"/>
    <w:rsid w:val="00CF6FCC"/>
    <w:rsid w:val="00D054B7"/>
    <w:rsid w:val="00D10F32"/>
    <w:rsid w:val="00D15449"/>
    <w:rsid w:val="00D3592E"/>
    <w:rsid w:val="00D445EF"/>
    <w:rsid w:val="00D47368"/>
    <w:rsid w:val="00D552B6"/>
    <w:rsid w:val="00D606A6"/>
    <w:rsid w:val="00D86ED8"/>
    <w:rsid w:val="00D92B4A"/>
    <w:rsid w:val="00D945EF"/>
    <w:rsid w:val="00DB08F9"/>
    <w:rsid w:val="00DB2566"/>
    <w:rsid w:val="00DD0ED7"/>
    <w:rsid w:val="00DD300F"/>
    <w:rsid w:val="00DF6B68"/>
    <w:rsid w:val="00E17232"/>
    <w:rsid w:val="00E42824"/>
    <w:rsid w:val="00E434B1"/>
    <w:rsid w:val="00E61ABA"/>
    <w:rsid w:val="00E6395C"/>
    <w:rsid w:val="00E65E17"/>
    <w:rsid w:val="00E702FA"/>
    <w:rsid w:val="00E738E7"/>
    <w:rsid w:val="00E73ED1"/>
    <w:rsid w:val="00E95F3E"/>
    <w:rsid w:val="00EB4EC6"/>
    <w:rsid w:val="00EC4A2F"/>
    <w:rsid w:val="00ED11FB"/>
    <w:rsid w:val="00ED2C82"/>
    <w:rsid w:val="00ED343D"/>
    <w:rsid w:val="00EE106D"/>
    <w:rsid w:val="00EE5043"/>
    <w:rsid w:val="00EF16B0"/>
    <w:rsid w:val="00EF53A5"/>
    <w:rsid w:val="00EF7AD6"/>
    <w:rsid w:val="00F1064C"/>
    <w:rsid w:val="00F14686"/>
    <w:rsid w:val="00F20510"/>
    <w:rsid w:val="00F20B62"/>
    <w:rsid w:val="00F20C09"/>
    <w:rsid w:val="00F220B6"/>
    <w:rsid w:val="00F27956"/>
    <w:rsid w:val="00F315D1"/>
    <w:rsid w:val="00F34320"/>
    <w:rsid w:val="00F434FF"/>
    <w:rsid w:val="00F5181E"/>
    <w:rsid w:val="00F51D15"/>
    <w:rsid w:val="00F55CBF"/>
    <w:rsid w:val="00F653E6"/>
    <w:rsid w:val="00F77C51"/>
    <w:rsid w:val="00F91993"/>
    <w:rsid w:val="00F96AF8"/>
    <w:rsid w:val="00F97F95"/>
    <w:rsid w:val="00FA6E7E"/>
    <w:rsid w:val="00FB41BE"/>
    <w:rsid w:val="00FC207D"/>
    <w:rsid w:val="00FC382D"/>
    <w:rsid w:val="00FD08E3"/>
    <w:rsid w:val="00FD5B69"/>
    <w:rsid w:val="00FF026E"/>
    <w:rsid w:val="00FF0311"/>
    <w:rsid w:val="00FF2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FF0456-E9FD-48AE-9132-6180B7EE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2">
    <w:name w:val="heading 2"/>
    <w:basedOn w:val="Normal"/>
    <w:next w:val="Normal"/>
    <w:link w:val="Ttulo2Car"/>
    <w:uiPriority w:val="9"/>
    <w:semiHidden/>
    <w:unhideWhenUsed/>
    <w:qFormat/>
    <w:rsid w:val="00F43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nhideWhenUsed/>
    <w:qFormat/>
    <w:rsid w:val="00F434FF"/>
    <w:pPr>
      <w:keepLines w:val="0"/>
      <w:widowControl/>
      <w:spacing w:before="240" w:after="240" w:line="240" w:lineRule="auto"/>
      <w:jc w:val="both"/>
      <w:outlineLvl w:val="2"/>
    </w:pPr>
    <w:rPr>
      <w:rFonts w:ascii="Arial" w:eastAsia="Times New Roman" w:hAnsi="Arial" w:cs="Arial"/>
      <w:bCs w:val="0"/>
      <w:i/>
      <w:color w:val="auto"/>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314"/>
  </w:style>
  <w:style w:type="paragraph" w:styleId="Piedepgina">
    <w:name w:val="footer"/>
    <w:basedOn w:val="Normal"/>
    <w:link w:val="PiedepginaCar"/>
    <w:uiPriority w:val="99"/>
    <w:unhideWhenUsed/>
    <w:rsid w:val="00331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314"/>
  </w:style>
  <w:style w:type="paragraph" w:styleId="Textodeglobo">
    <w:name w:val="Balloon Text"/>
    <w:basedOn w:val="Normal"/>
    <w:link w:val="TextodegloboCar"/>
    <w:uiPriority w:val="99"/>
    <w:semiHidden/>
    <w:unhideWhenUsed/>
    <w:rsid w:val="00331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314"/>
    <w:rPr>
      <w:rFonts w:ascii="Tahoma" w:hAnsi="Tahoma" w:cs="Tahoma"/>
      <w:sz w:val="16"/>
      <w:szCs w:val="16"/>
    </w:rPr>
  </w:style>
  <w:style w:type="character" w:styleId="Hipervnculo">
    <w:name w:val="Hyperlink"/>
    <w:basedOn w:val="Fuentedeprrafopredeter"/>
    <w:uiPriority w:val="99"/>
    <w:unhideWhenUsed/>
    <w:rsid w:val="00331314"/>
    <w:rPr>
      <w:color w:val="0000FF" w:themeColor="hyperlink"/>
      <w:u w:val="single"/>
    </w:rPr>
  </w:style>
  <w:style w:type="paragraph" w:styleId="Prrafodelista">
    <w:name w:val="List Paragraph"/>
    <w:basedOn w:val="Normal"/>
    <w:qFormat/>
    <w:rsid w:val="006D1F4A"/>
    <w:pPr>
      <w:ind w:left="720"/>
      <w:contextualSpacing/>
    </w:pPr>
  </w:style>
  <w:style w:type="character" w:styleId="Hipervnculovisitado">
    <w:name w:val="FollowedHyperlink"/>
    <w:basedOn w:val="Fuentedeprrafopredeter"/>
    <w:uiPriority w:val="99"/>
    <w:semiHidden/>
    <w:unhideWhenUsed/>
    <w:rsid w:val="00347E2E"/>
    <w:rPr>
      <w:color w:val="800080" w:themeColor="followedHyperlink"/>
      <w:u w:val="single"/>
    </w:rPr>
  </w:style>
  <w:style w:type="paragraph" w:customStyle="1" w:styleId="Default">
    <w:name w:val="Default"/>
    <w:rsid w:val="0057131C"/>
    <w:pPr>
      <w:widowControl/>
      <w:autoSpaceDE w:val="0"/>
      <w:autoSpaceDN w:val="0"/>
      <w:adjustRightInd w:val="0"/>
      <w:spacing w:after="0" w:line="240" w:lineRule="auto"/>
    </w:pPr>
    <w:rPr>
      <w:rFonts w:ascii="Arial" w:hAnsi="Arial" w:cs="Arial"/>
      <w:color w:val="000000"/>
      <w:sz w:val="24"/>
      <w:szCs w:val="24"/>
      <w:lang w:val="es-ES"/>
    </w:rPr>
  </w:style>
  <w:style w:type="character" w:customStyle="1" w:styleId="Ttulo3Car">
    <w:name w:val="Título 3 Car"/>
    <w:basedOn w:val="Fuentedeprrafopredeter"/>
    <w:link w:val="Ttulo3"/>
    <w:rsid w:val="00F434FF"/>
    <w:rPr>
      <w:rFonts w:ascii="Arial" w:eastAsia="Times New Roman" w:hAnsi="Arial" w:cs="Arial"/>
      <w:b/>
      <w:i/>
      <w:sz w:val="24"/>
      <w:szCs w:val="24"/>
      <w:lang w:val="es-ES" w:eastAsia="es-ES"/>
    </w:rPr>
  </w:style>
  <w:style w:type="character" w:styleId="Refdenotaalpie">
    <w:name w:val="footnote reference"/>
    <w:aliases w:val="fr,Ref,de nota al pie,Footnote,Footnotemark,Footnotemark1,FR,Footnotemark2,FR1,Footnotemark3,FR2,Footnotemark4,FR3,Footnotemark5,FR4,Footnotemark6,Footnotemark7,Footnotemark8,FR5,Footnotemark11,Footnotemark21,FR11,Footnotemark31,FR21"/>
    <w:rsid w:val="00F434FF"/>
    <w:rPr>
      <w:vertAlign w:val="superscript"/>
    </w:rPr>
  </w:style>
  <w:style w:type="character" w:customStyle="1" w:styleId="Ttulo2Car">
    <w:name w:val="Título 2 Car"/>
    <w:basedOn w:val="Fuentedeprrafopredeter"/>
    <w:link w:val="Ttulo2"/>
    <w:uiPriority w:val="9"/>
    <w:semiHidden/>
    <w:rsid w:val="00F434FF"/>
    <w:rPr>
      <w:rFonts w:asciiTheme="majorHAnsi" w:eastAsiaTheme="majorEastAsia" w:hAnsiTheme="majorHAnsi" w:cstheme="majorBidi"/>
      <w:b/>
      <w:bCs/>
      <w:color w:val="4F81BD" w:themeColor="accent1"/>
      <w:sz w:val="26"/>
      <w:szCs w:val="26"/>
    </w:r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10 pt"/>
    <w:basedOn w:val="Normal"/>
    <w:link w:val="TextonotapieCar"/>
    <w:uiPriority w:val="99"/>
    <w:rsid w:val="0008552E"/>
    <w:pPr>
      <w:widowControl/>
      <w:spacing w:after="240" w:line="240" w:lineRule="auto"/>
      <w:ind w:left="357" w:hanging="357"/>
      <w:jc w:val="both"/>
    </w:pPr>
    <w:rPr>
      <w:rFonts w:ascii="Arial" w:eastAsia="Times New Roman" w:hAnsi="Arial" w:cs="Times New Roman"/>
      <w:sz w:val="20"/>
      <w:szCs w:val="20"/>
      <w:lang w:val="fr-FR" w:eastAsia="en-GB"/>
    </w:rPr>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10 pt Car"/>
    <w:basedOn w:val="Fuentedeprrafopredeter"/>
    <w:link w:val="Textonotapie"/>
    <w:uiPriority w:val="99"/>
    <w:rsid w:val="0008552E"/>
    <w:rPr>
      <w:rFonts w:ascii="Arial" w:eastAsia="Times New Roman" w:hAnsi="Arial" w:cs="Times New Roman"/>
      <w:sz w:val="20"/>
      <w:szCs w:val="20"/>
      <w:lang w:val="fr-FR" w:eastAsia="en-GB"/>
    </w:rPr>
  </w:style>
  <w:style w:type="character" w:styleId="Refdecomentario">
    <w:name w:val="annotation reference"/>
    <w:basedOn w:val="Fuentedeprrafopredeter"/>
    <w:uiPriority w:val="99"/>
    <w:semiHidden/>
    <w:unhideWhenUsed/>
    <w:rsid w:val="00FD08E3"/>
    <w:rPr>
      <w:sz w:val="16"/>
      <w:szCs w:val="16"/>
    </w:rPr>
  </w:style>
  <w:style w:type="paragraph" w:styleId="Textocomentario">
    <w:name w:val="annotation text"/>
    <w:basedOn w:val="Normal"/>
    <w:link w:val="TextocomentarioCar"/>
    <w:uiPriority w:val="99"/>
    <w:semiHidden/>
    <w:unhideWhenUsed/>
    <w:rsid w:val="00FD0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8E3"/>
    <w:rPr>
      <w:sz w:val="20"/>
      <w:szCs w:val="20"/>
    </w:rPr>
  </w:style>
  <w:style w:type="paragraph" w:styleId="Asuntodelcomentario">
    <w:name w:val="annotation subject"/>
    <w:basedOn w:val="Textocomentario"/>
    <w:next w:val="Textocomentario"/>
    <w:link w:val="AsuntodelcomentarioCar"/>
    <w:uiPriority w:val="99"/>
    <w:semiHidden/>
    <w:unhideWhenUsed/>
    <w:rsid w:val="00FD08E3"/>
    <w:rPr>
      <w:b/>
      <w:bCs/>
    </w:rPr>
  </w:style>
  <w:style w:type="character" w:customStyle="1" w:styleId="AsuntodelcomentarioCar">
    <w:name w:val="Asunto del comentario Car"/>
    <w:basedOn w:val="TextocomentarioCar"/>
    <w:link w:val="Asuntodelcomentario"/>
    <w:uiPriority w:val="99"/>
    <w:semiHidden/>
    <w:rsid w:val="00FD0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743">
      <w:bodyDiv w:val="1"/>
      <w:marLeft w:val="0"/>
      <w:marRight w:val="0"/>
      <w:marTop w:val="0"/>
      <w:marBottom w:val="0"/>
      <w:divBdr>
        <w:top w:val="none" w:sz="0" w:space="0" w:color="auto"/>
        <w:left w:val="none" w:sz="0" w:space="0" w:color="auto"/>
        <w:bottom w:val="none" w:sz="0" w:space="0" w:color="auto"/>
        <w:right w:val="none" w:sz="0" w:space="0" w:color="auto"/>
      </w:divBdr>
    </w:div>
    <w:div w:id="94521209">
      <w:bodyDiv w:val="1"/>
      <w:marLeft w:val="0"/>
      <w:marRight w:val="0"/>
      <w:marTop w:val="0"/>
      <w:marBottom w:val="0"/>
      <w:divBdr>
        <w:top w:val="none" w:sz="0" w:space="0" w:color="auto"/>
        <w:left w:val="none" w:sz="0" w:space="0" w:color="auto"/>
        <w:bottom w:val="none" w:sz="0" w:space="0" w:color="auto"/>
        <w:right w:val="none" w:sz="0" w:space="0" w:color="auto"/>
      </w:divBdr>
    </w:div>
    <w:div w:id="137189446">
      <w:bodyDiv w:val="1"/>
      <w:marLeft w:val="0"/>
      <w:marRight w:val="0"/>
      <w:marTop w:val="0"/>
      <w:marBottom w:val="0"/>
      <w:divBdr>
        <w:top w:val="none" w:sz="0" w:space="0" w:color="auto"/>
        <w:left w:val="none" w:sz="0" w:space="0" w:color="auto"/>
        <w:bottom w:val="none" w:sz="0" w:space="0" w:color="auto"/>
        <w:right w:val="none" w:sz="0" w:space="0" w:color="auto"/>
      </w:divBdr>
    </w:div>
    <w:div w:id="393042202">
      <w:bodyDiv w:val="1"/>
      <w:marLeft w:val="0"/>
      <w:marRight w:val="0"/>
      <w:marTop w:val="0"/>
      <w:marBottom w:val="0"/>
      <w:divBdr>
        <w:top w:val="none" w:sz="0" w:space="0" w:color="auto"/>
        <w:left w:val="none" w:sz="0" w:space="0" w:color="auto"/>
        <w:bottom w:val="none" w:sz="0" w:space="0" w:color="auto"/>
        <w:right w:val="none" w:sz="0" w:space="0" w:color="auto"/>
      </w:divBdr>
    </w:div>
    <w:div w:id="455610372">
      <w:bodyDiv w:val="1"/>
      <w:marLeft w:val="0"/>
      <w:marRight w:val="0"/>
      <w:marTop w:val="0"/>
      <w:marBottom w:val="0"/>
      <w:divBdr>
        <w:top w:val="none" w:sz="0" w:space="0" w:color="auto"/>
        <w:left w:val="none" w:sz="0" w:space="0" w:color="auto"/>
        <w:bottom w:val="none" w:sz="0" w:space="0" w:color="auto"/>
        <w:right w:val="none" w:sz="0" w:space="0" w:color="auto"/>
      </w:divBdr>
    </w:div>
    <w:div w:id="476915349">
      <w:bodyDiv w:val="1"/>
      <w:marLeft w:val="0"/>
      <w:marRight w:val="0"/>
      <w:marTop w:val="0"/>
      <w:marBottom w:val="0"/>
      <w:divBdr>
        <w:top w:val="none" w:sz="0" w:space="0" w:color="auto"/>
        <w:left w:val="none" w:sz="0" w:space="0" w:color="auto"/>
        <w:bottom w:val="none" w:sz="0" w:space="0" w:color="auto"/>
        <w:right w:val="none" w:sz="0" w:space="0" w:color="auto"/>
      </w:divBdr>
    </w:div>
    <w:div w:id="581257739">
      <w:bodyDiv w:val="1"/>
      <w:marLeft w:val="0"/>
      <w:marRight w:val="0"/>
      <w:marTop w:val="0"/>
      <w:marBottom w:val="0"/>
      <w:divBdr>
        <w:top w:val="none" w:sz="0" w:space="0" w:color="auto"/>
        <w:left w:val="none" w:sz="0" w:space="0" w:color="auto"/>
        <w:bottom w:val="none" w:sz="0" w:space="0" w:color="auto"/>
        <w:right w:val="none" w:sz="0" w:space="0" w:color="auto"/>
      </w:divBdr>
    </w:div>
    <w:div w:id="1460607444">
      <w:bodyDiv w:val="1"/>
      <w:marLeft w:val="0"/>
      <w:marRight w:val="0"/>
      <w:marTop w:val="0"/>
      <w:marBottom w:val="0"/>
      <w:divBdr>
        <w:top w:val="none" w:sz="0" w:space="0" w:color="auto"/>
        <w:left w:val="none" w:sz="0" w:space="0" w:color="auto"/>
        <w:bottom w:val="none" w:sz="0" w:space="0" w:color="auto"/>
        <w:right w:val="none" w:sz="0" w:space="0" w:color="auto"/>
      </w:divBdr>
    </w:div>
    <w:div w:id="160060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nsa@cnmc.e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6C0CA11FC39049804058734BEC8AFE" ma:contentTypeVersion="" ma:contentTypeDescription="Crear nuevo documento." ma:contentTypeScope="" ma:versionID="dc206d0e5b80ffdd731c76ac3130d12e">
  <xsd:schema xmlns:xsd="http://www.w3.org/2001/XMLSchema" xmlns:xs="http://www.w3.org/2001/XMLSchema" xmlns:p="http://schemas.microsoft.com/office/2006/metadata/properties" xmlns:ns1="http://schemas.microsoft.com/sharepoint/v3" targetNamespace="http://schemas.microsoft.com/office/2006/metadata/properties" ma:root="true" ma:fieldsID="2e5f5e6edc26060fa14806dffd5691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F515-4F0C-4EB1-9AF1-00655F17A7F2}">
  <ds:schemaRefs>
    <ds:schemaRef ds:uri="http://purl.org/dc/dcmitype/"/>
    <ds:schemaRef ds:uri="http://purl.org/dc/elements/1.1/"/>
    <ds:schemaRef ds:uri="http://schemas.microsoft.com/sharepoint/v3"/>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152C381-E067-4611-9AE5-1B7E6669241B}">
  <ds:schemaRefs>
    <ds:schemaRef ds:uri="http://schemas.microsoft.com/sharepoint/v3/contenttype/forms"/>
  </ds:schemaRefs>
</ds:datastoreItem>
</file>

<file path=customXml/itemProps3.xml><?xml version="1.0" encoding="utf-8"?>
<ds:datastoreItem xmlns:ds="http://schemas.openxmlformats.org/officeDocument/2006/customXml" ds:itemID="{8365DED4-CC4C-44EC-92D0-ABFC2C4E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F2FD3-B762-47DC-8D02-DFC2B2B0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3791</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La CNMC publica su Informe relativo al Anteproyecto de Ley de Patentes</vt:lpstr>
    </vt:vector>
  </TitlesOfParts>
  <Company>cnmc</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CNMC publica su Informe relativo al Anteproyecto de Ley de Patentes</dc:title>
  <dc:creator>Departamento de Promoción</dc:creator>
  <cp:lastModifiedBy>García-Oliva Calderón, Montserrat</cp:lastModifiedBy>
  <cp:revision>2</cp:revision>
  <cp:lastPrinted>2015-09-08T12:26:00Z</cp:lastPrinted>
  <dcterms:created xsi:type="dcterms:W3CDTF">2015-11-06T11:17:00Z</dcterms:created>
  <dcterms:modified xsi:type="dcterms:W3CDTF">2015-11-06T11:17:00Z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2014-01-21T00:00:00Z</vt:filetime>
  </property>
  <property fmtid="{D5CDD505-2E9C-101B-9397-08002B2CF9AE}" pid="4" name="ContentTypeId">
    <vt:lpwstr>0x010100116C0CA11FC39049804058734BEC8AFE</vt:lpwstr>
  </property>
</Properties>
</file>